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560" w:firstLineChars="200"/>
        <w:jc w:val="center"/>
        <w:rPr>
          <w:rFonts w:hint="eastAsia" w:ascii="仿宋" w:hAnsi="仿宋" w:eastAsia="仿宋" w:cs="仿宋"/>
          <w:sz w:val="28"/>
          <w:szCs w:val="28"/>
          <w:highlight w:val="none"/>
        </w:rPr>
      </w:pPr>
    </w:p>
    <w:p>
      <w:pPr>
        <w:spacing w:line="560" w:lineRule="exact"/>
        <w:ind w:firstLine="883" w:firstLineChars="200"/>
        <w:jc w:val="center"/>
        <w:rPr>
          <w:rFonts w:hint="eastAsia" w:ascii="仿宋" w:hAnsi="仿宋" w:eastAsia="仿宋" w:cs="仿宋"/>
          <w:b/>
          <w:bCs/>
          <w:color w:val="FF0000"/>
          <w:sz w:val="44"/>
          <w:szCs w:val="44"/>
          <w:highlight w:val="none"/>
        </w:rPr>
      </w:pPr>
      <w:r>
        <w:rPr>
          <w:rFonts w:hint="eastAsia" w:ascii="仿宋" w:hAnsi="仿宋" w:eastAsia="仿宋" w:cs="仿宋"/>
          <w:b/>
          <w:bCs/>
          <w:sz w:val="44"/>
          <w:szCs w:val="44"/>
          <w:highlight w:val="none"/>
        </w:rPr>
        <w:t>2017年度霸州市</w:t>
      </w:r>
      <w:r>
        <w:rPr>
          <w:rFonts w:hint="eastAsia" w:ascii="仿宋" w:hAnsi="仿宋" w:eastAsia="仿宋" w:cs="仿宋"/>
          <w:b/>
          <w:bCs/>
          <w:sz w:val="44"/>
          <w:szCs w:val="44"/>
          <w:highlight w:val="none"/>
          <w:lang w:val="en-US" w:eastAsia="zh-CN"/>
        </w:rPr>
        <w:t>政务服务管理办公室</w:t>
      </w:r>
      <w:r>
        <w:rPr>
          <w:rFonts w:hint="eastAsia" w:ascii="仿宋" w:hAnsi="仿宋" w:eastAsia="仿宋" w:cs="仿宋"/>
          <w:b/>
          <w:bCs/>
          <w:sz w:val="44"/>
          <w:szCs w:val="44"/>
          <w:highlight w:val="none"/>
        </w:rPr>
        <w:t>决算信息公开情况说明</w:t>
      </w:r>
    </w:p>
    <w:p>
      <w:pPr>
        <w:widowControl/>
        <w:spacing w:line="5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按照《预算法》、《河北省财政厅关于印发&lt;河北省预决算公开操作规程实施细则&gt;的通知》（冀财预﹝2016﹞129号）等规定，现将2017年部门决算公开如下：</w:t>
      </w:r>
    </w:p>
    <w:p>
      <w:pPr>
        <w:widowControl/>
        <w:numPr>
          <w:ilvl w:val="0"/>
          <w:numId w:val="1"/>
        </w:numPr>
        <w:spacing w:line="560" w:lineRule="exact"/>
        <w:ind w:firstLine="562" w:firstLineChars="200"/>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部门职责及机构设置情况</w:t>
      </w:r>
    </w:p>
    <w:p>
      <w:pPr>
        <w:widowControl/>
        <w:spacing w:line="560" w:lineRule="exact"/>
        <w:ind w:firstLine="562" w:firstLineChars="200"/>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部门职责：</w:t>
      </w:r>
    </w:p>
    <w:p>
      <w:pPr>
        <w:widowControl/>
        <w:spacing w:line="5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(一)、贯彻执行国家法律、法规和上级有关行政审批制度改革工作的方针、政策，结合本市实际，起草行政审批制度改革实施办法，并组织实施和监督检查。</w:t>
      </w:r>
    </w:p>
    <w:p>
      <w:pPr>
        <w:widowControl/>
        <w:spacing w:line="5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二)、负责拟定市政府各部门以及经行政授权单位的行政审批事项进入中心的方案，组织、协调中心各窗口单位的有关审批事项，制订有关行政审批规则，指定联办事项的受理窗口，组织窗口单位联审会议，并监督执行中心的协调意见和联审决定。</w:t>
      </w:r>
    </w:p>
    <w:p>
      <w:pPr>
        <w:widowControl/>
        <w:spacing w:line="5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(三)、负责对各窗口单位行政审批工作的考核，负责对窗口工作人员的日常管理和考核。</w:t>
      </w:r>
    </w:p>
    <w:p>
      <w:pPr>
        <w:widowControl/>
        <w:spacing w:line="5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(四)、负责监督检查各窗口单位及其工作人员的行政审批行为；负责受理、核实和协调处理服务对象对中心成员单位及其工作人员影响、妨碍经济发展或损害其合法权益行为的投诉。 </w:t>
      </w:r>
    </w:p>
    <w:p>
      <w:pPr>
        <w:widowControl/>
        <w:spacing w:line="5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(五)、负责对我市行政区域内的各类公共资源项目招投标交易活动的协调、管理、监督工作。</w:t>
      </w:r>
    </w:p>
    <w:p>
      <w:pPr>
        <w:widowControl/>
        <w:spacing w:line="5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(六)、调查研究经济发展环境情况，综合分析投诉案件信息与动态，拟制相应的工作计划和建议。</w:t>
      </w:r>
    </w:p>
    <w:p>
      <w:pPr>
        <w:widowControl/>
        <w:spacing w:line="5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(七)、承担市委、市政府交办的其他有关工作。</w:t>
      </w:r>
    </w:p>
    <w:p>
      <w:pPr>
        <w:widowControl/>
        <w:spacing w:line="560" w:lineRule="exact"/>
        <w:ind w:firstLine="562" w:firstLineChars="200"/>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机构设置：</w:t>
      </w:r>
    </w:p>
    <w:p>
      <w:pPr>
        <w:spacing w:line="560" w:lineRule="exact"/>
        <w:ind w:firstLine="560" w:firstLineChars="200"/>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部门机构设置情况</w:t>
      </w:r>
    </w:p>
    <w:tbl>
      <w:tblPr>
        <w:tblStyle w:val="6"/>
        <w:tblW w:w="10094" w:type="dxa"/>
        <w:jc w:val="center"/>
        <w:tblInd w:w="-41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4"/>
        <w:gridCol w:w="1879"/>
        <w:gridCol w:w="1436"/>
        <w:gridCol w:w="30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30" w:hRule="atLeast"/>
          <w:tblHeader/>
          <w:jc w:val="center"/>
        </w:trPr>
        <w:tc>
          <w:tcPr>
            <w:tcW w:w="3714" w:type="dxa"/>
            <w:vMerge w:val="restart"/>
            <w:vAlign w:val="center"/>
          </w:tcPr>
          <w:p>
            <w:pPr>
              <w:spacing w:line="560" w:lineRule="exact"/>
              <w:jc w:val="center"/>
              <w:rPr>
                <w:rFonts w:hint="eastAsia" w:ascii="仿宋" w:hAnsi="仿宋" w:eastAsia="仿宋" w:cs="仿宋"/>
                <w:b/>
                <w:sz w:val="28"/>
                <w:szCs w:val="28"/>
                <w:highlight w:val="none"/>
              </w:rPr>
            </w:pPr>
            <w:r>
              <w:rPr>
                <w:rFonts w:hint="eastAsia" w:ascii="仿宋" w:hAnsi="仿宋" w:eastAsia="仿宋" w:cs="仿宋"/>
                <w:b/>
                <w:sz w:val="28"/>
                <w:szCs w:val="28"/>
                <w:highlight w:val="none"/>
              </w:rPr>
              <w:t>单位名称</w:t>
            </w:r>
          </w:p>
        </w:tc>
        <w:tc>
          <w:tcPr>
            <w:tcW w:w="1879" w:type="dxa"/>
            <w:vMerge w:val="restart"/>
            <w:vAlign w:val="center"/>
          </w:tcPr>
          <w:p>
            <w:pPr>
              <w:spacing w:line="560" w:lineRule="exact"/>
              <w:jc w:val="center"/>
              <w:rPr>
                <w:rFonts w:hint="eastAsia" w:ascii="仿宋" w:hAnsi="仿宋" w:eastAsia="仿宋" w:cs="仿宋"/>
                <w:b/>
                <w:sz w:val="28"/>
                <w:szCs w:val="28"/>
                <w:highlight w:val="none"/>
              </w:rPr>
            </w:pPr>
            <w:r>
              <w:rPr>
                <w:rFonts w:hint="eastAsia" w:ascii="仿宋" w:hAnsi="仿宋" w:eastAsia="仿宋" w:cs="仿宋"/>
                <w:b/>
                <w:sz w:val="28"/>
                <w:szCs w:val="28"/>
                <w:highlight w:val="none"/>
              </w:rPr>
              <w:t>单位性质</w:t>
            </w:r>
          </w:p>
        </w:tc>
        <w:tc>
          <w:tcPr>
            <w:tcW w:w="1436" w:type="dxa"/>
            <w:vMerge w:val="restart"/>
            <w:vAlign w:val="center"/>
          </w:tcPr>
          <w:p>
            <w:pPr>
              <w:spacing w:line="560" w:lineRule="exact"/>
              <w:jc w:val="center"/>
              <w:rPr>
                <w:rFonts w:hint="eastAsia" w:ascii="仿宋" w:hAnsi="仿宋" w:eastAsia="仿宋" w:cs="仿宋"/>
                <w:b/>
                <w:sz w:val="28"/>
                <w:szCs w:val="28"/>
                <w:highlight w:val="none"/>
              </w:rPr>
            </w:pPr>
            <w:r>
              <w:rPr>
                <w:rFonts w:hint="eastAsia" w:ascii="仿宋" w:hAnsi="仿宋" w:eastAsia="仿宋" w:cs="仿宋"/>
                <w:b/>
                <w:sz w:val="28"/>
                <w:szCs w:val="28"/>
                <w:highlight w:val="none"/>
              </w:rPr>
              <w:t>单位规格</w:t>
            </w:r>
          </w:p>
        </w:tc>
        <w:tc>
          <w:tcPr>
            <w:tcW w:w="3065" w:type="dxa"/>
            <w:vMerge w:val="restart"/>
            <w:vAlign w:val="center"/>
          </w:tcPr>
          <w:p>
            <w:pPr>
              <w:spacing w:line="560" w:lineRule="exact"/>
              <w:jc w:val="center"/>
              <w:rPr>
                <w:rFonts w:hint="eastAsia" w:ascii="仿宋" w:hAnsi="仿宋" w:eastAsia="仿宋" w:cs="仿宋"/>
                <w:b/>
                <w:sz w:val="28"/>
                <w:szCs w:val="28"/>
                <w:highlight w:val="none"/>
              </w:rPr>
            </w:pPr>
            <w:r>
              <w:rPr>
                <w:rFonts w:hint="eastAsia" w:ascii="仿宋" w:hAnsi="仿宋" w:eastAsia="仿宋" w:cs="仿宋"/>
                <w:b/>
                <w:sz w:val="28"/>
                <w:szCs w:val="28"/>
                <w:highlight w:val="none"/>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blHeader/>
          <w:jc w:val="center"/>
        </w:trPr>
        <w:tc>
          <w:tcPr>
            <w:tcW w:w="3714" w:type="dxa"/>
            <w:vMerge w:val="continue"/>
            <w:vAlign w:val="center"/>
          </w:tcPr>
          <w:p>
            <w:pPr>
              <w:spacing w:line="560" w:lineRule="exact"/>
              <w:ind w:firstLine="560" w:firstLineChars="200"/>
              <w:jc w:val="center"/>
              <w:outlineLvl w:val="0"/>
              <w:rPr>
                <w:rFonts w:hint="eastAsia" w:ascii="仿宋" w:hAnsi="仿宋" w:eastAsia="仿宋" w:cs="仿宋"/>
                <w:sz w:val="28"/>
                <w:szCs w:val="28"/>
                <w:highlight w:val="none"/>
              </w:rPr>
            </w:pPr>
          </w:p>
        </w:tc>
        <w:tc>
          <w:tcPr>
            <w:tcW w:w="1879" w:type="dxa"/>
            <w:vMerge w:val="continue"/>
            <w:vAlign w:val="center"/>
          </w:tcPr>
          <w:p>
            <w:pPr>
              <w:spacing w:line="560" w:lineRule="exact"/>
              <w:ind w:firstLine="560" w:firstLineChars="200"/>
              <w:jc w:val="center"/>
              <w:outlineLvl w:val="0"/>
              <w:rPr>
                <w:rFonts w:hint="eastAsia" w:ascii="仿宋" w:hAnsi="仿宋" w:eastAsia="仿宋" w:cs="仿宋"/>
                <w:sz w:val="28"/>
                <w:szCs w:val="28"/>
                <w:highlight w:val="none"/>
              </w:rPr>
            </w:pPr>
          </w:p>
        </w:tc>
        <w:tc>
          <w:tcPr>
            <w:tcW w:w="1436" w:type="dxa"/>
            <w:vMerge w:val="continue"/>
            <w:vAlign w:val="center"/>
          </w:tcPr>
          <w:p>
            <w:pPr>
              <w:spacing w:line="560" w:lineRule="exact"/>
              <w:ind w:firstLine="560" w:firstLineChars="200"/>
              <w:jc w:val="center"/>
              <w:outlineLvl w:val="0"/>
              <w:rPr>
                <w:rFonts w:hint="eastAsia" w:ascii="仿宋" w:hAnsi="仿宋" w:eastAsia="仿宋" w:cs="仿宋"/>
                <w:sz w:val="28"/>
                <w:szCs w:val="28"/>
                <w:highlight w:val="none"/>
              </w:rPr>
            </w:pPr>
          </w:p>
        </w:tc>
        <w:tc>
          <w:tcPr>
            <w:tcW w:w="3065" w:type="dxa"/>
            <w:vMerge w:val="continue"/>
            <w:vAlign w:val="center"/>
          </w:tcPr>
          <w:p>
            <w:pPr>
              <w:spacing w:line="560" w:lineRule="exact"/>
              <w:ind w:firstLine="560" w:firstLineChars="200"/>
              <w:jc w:val="center"/>
              <w:outlineLvl w:val="0"/>
              <w:rPr>
                <w:rFonts w:hint="eastAsia" w:ascii="仿宋" w:hAnsi="仿宋" w:eastAsia="仿宋" w:cs="仿宋"/>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11" w:hRule="atLeast"/>
          <w:jc w:val="center"/>
        </w:trPr>
        <w:tc>
          <w:tcPr>
            <w:tcW w:w="3714" w:type="dxa"/>
            <w:vAlign w:val="center"/>
          </w:tcPr>
          <w:p>
            <w:pPr>
              <w:spacing w:line="560" w:lineRule="exact"/>
              <w:jc w:val="center"/>
              <w:rPr>
                <w:rFonts w:hint="eastAsia" w:ascii="仿宋" w:hAnsi="仿宋" w:eastAsia="仿宋" w:cs="仿宋"/>
                <w:b/>
                <w:sz w:val="28"/>
                <w:szCs w:val="28"/>
                <w:highlight w:val="none"/>
              </w:rPr>
            </w:pPr>
            <w:r>
              <w:rPr>
                <w:rFonts w:hint="eastAsia" w:ascii="仿宋" w:hAnsi="仿宋" w:eastAsia="仿宋" w:cs="仿宋"/>
                <w:b/>
                <w:sz w:val="28"/>
                <w:szCs w:val="28"/>
                <w:highlight w:val="none"/>
                <w:lang w:val="en-US" w:eastAsia="zh-CN"/>
              </w:rPr>
              <w:t>霸州市政务服务管理办公室</w:t>
            </w:r>
          </w:p>
        </w:tc>
        <w:tc>
          <w:tcPr>
            <w:tcW w:w="1879" w:type="dxa"/>
            <w:vAlign w:val="center"/>
          </w:tcPr>
          <w:p>
            <w:pPr>
              <w:spacing w:line="560" w:lineRule="exact"/>
              <w:jc w:val="center"/>
              <w:rPr>
                <w:rFonts w:hint="eastAsia" w:ascii="仿宋" w:hAnsi="仿宋" w:eastAsia="仿宋" w:cs="仿宋"/>
                <w:b/>
                <w:sz w:val="28"/>
                <w:szCs w:val="28"/>
                <w:highlight w:val="none"/>
                <w:lang w:eastAsia="zh-CN"/>
              </w:rPr>
            </w:pPr>
            <w:r>
              <w:rPr>
                <w:rFonts w:hint="eastAsia" w:ascii="仿宋" w:hAnsi="仿宋" w:eastAsia="仿宋" w:cs="仿宋"/>
                <w:b/>
                <w:sz w:val="28"/>
                <w:szCs w:val="28"/>
                <w:highlight w:val="none"/>
                <w:lang w:val="en-US" w:eastAsia="zh-CN"/>
              </w:rPr>
              <w:t>全额事业</w:t>
            </w:r>
          </w:p>
        </w:tc>
        <w:tc>
          <w:tcPr>
            <w:tcW w:w="1436" w:type="dxa"/>
            <w:vAlign w:val="center"/>
          </w:tcPr>
          <w:p>
            <w:pPr>
              <w:spacing w:line="560" w:lineRule="exact"/>
              <w:jc w:val="center"/>
              <w:rPr>
                <w:rFonts w:hint="eastAsia" w:ascii="仿宋" w:hAnsi="仿宋" w:eastAsia="仿宋" w:cs="仿宋"/>
                <w:b/>
                <w:sz w:val="28"/>
                <w:szCs w:val="28"/>
                <w:highlight w:val="none"/>
              </w:rPr>
            </w:pPr>
            <w:r>
              <w:rPr>
                <w:rFonts w:hint="eastAsia" w:ascii="仿宋" w:hAnsi="仿宋" w:eastAsia="仿宋" w:cs="仿宋"/>
                <w:b/>
                <w:sz w:val="28"/>
                <w:szCs w:val="28"/>
                <w:highlight w:val="none"/>
              </w:rPr>
              <w:t>正科级</w:t>
            </w:r>
          </w:p>
        </w:tc>
        <w:tc>
          <w:tcPr>
            <w:tcW w:w="3065" w:type="dxa"/>
            <w:vAlign w:val="center"/>
          </w:tcPr>
          <w:p>
            <w:pPr>
              <w:spacing w:line="560" w:lineRule="exact"/>
              <w:jc w:val="center"/>
              <w:rPr>
                <w:rFonts w:hint="eastAsia" w:ascii="仿宋" w:hAnsi="仿宋" w:eastAsia="仿宋" w:cs="仿宋"/>
                <w:b/>
                <w:sz w:val="28"/>
                <w:szCs w:val="28"/>
                <w:highlight w:val="none"/>
                <w:lang w:val="en-US" w:eastAsia="zh-CN"/>
              </w:rPr>
            </w:pPr>
            <w:r>
              <w:rPr>
                <w:rFonts w:hint="eastAsia" w:ascii="仿宋" w:hAnsi="仿宋" w:eastAsia="仿宋" w:cs="仿宋"/>
                <w:b/>
                <w:sz w:val="28"/>
                <w:szCs w:val="28"/>
                <w:highlight w:val="none"/>
                <w:lang w:val="en-US" w:eastAsia="zh-CN"/>
              </w:rPr>
              <w:t>财政性资金基本保证</w:t>
            </w:r>
          </w:p>
        </w:tc>
      </w:tr>
    </w:tbl>
    <w:p>
      <w:pPr>
        <w:spacing w:line="560" w:lineRule="exact"/>
        <w:ind w:firstLine="562" w:firstLineChars="200"/>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注：</w:t>
      </w:r>
      <w:r>
        <w:rPr>
          <w:rFonts w:hint="eastAsia" w:ascii="仿宋" w:hAnsi="仿宋" w:eastAsia="仿宋" w:cs="仿宋"/>
          <w:b/>
          <w:bCs/>
          <w:color w:val="auto"/>
          <w:sz w:val="28"/>
          <w:szCs w:val="28"/>
          <w:highlight w:val="none"/>
        </w:rPr>
        <w:t>我单位为1级预算单位，无下属单位，无汇总决算。</w:t>
      </w:r>
    </w:p>
    <w:p>
      <w:pPr>
        <w:numPr>
          <w:ilvl w:val="0"/>
          <w:numId w:val="1"/>
        </w:numPr>
        <w:spacing w:line="560" w:lineRule="exact"/>
        <w:ind w:left="0" w:leftChars="0" w:firstLine="562" w:firstLineChars="200"/>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部门决算报表（见附表）</w:t>
      </w:r>
    </w:p>
    <w:p>
      <w:pPr>
        <w:autoSpaceDE w:val="0"/>
        <w:autoSpaceDN w:val="0"/>
        <w:snapToGrid w:val="0"/>
        <w:spacing w:line="56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（一）、收入支出决算总表</w:t>
      </w:r>
    </w:p>
    <w:p>
      <w:pPr>
        <w:autoSpaceDE w:val="0"/>
        <w:autoSpaceDN w:val="0"/>
        <w:snapToGrid w:val="0"/>
        <w:spacing w:line="56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（二）、收入决算表</w:t>
      </w:r>
    </w:p>
    <w:p>
      <w:pPr>
        <w:autoSpaceDE w:val="0"/>
        <w:autoSpaceDN w:val="0"/>
        <w:snapToGrid w:val="0"/>
        <w:spacing w:line="56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（三）、支出决算表</w:t>
      </w:r>
    </w:p>
    <w:p>
      <w:pPr>
        <w:autoSpaceDE w:val="0"/>
        <w:autoSpaceDN w:val="0"/>
        <w:snapToGrid w:val="0"/>
        <w:spacing w:line="56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（四）、财政拨款收入支出决算总表</w:t>
      </w:r>
    </w:p>
    <w:p>
      <w:pPr>
        <w:autoSpaceDE w:val="0"/>
        <w:autoSpaceDN w:val="0"/>
        <w:snapToGrid w:val="0"/>
        <w:spacing w:line="56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（五）、一般公共预算财政拨款收入支出决算表</w:t>
      </w:r>
    </w:p>
    <w:p>
      <w:pPr>
        <w:autoSpaceDE w:val="0"/>
        <w:autoSpaceDN w:val="0"/>
        <w:snapToGrid w:val="0"/>
        <w:spacing w:line="56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（六）、一般公共预算财政拨款基本支出决算经济分类表</w:t>
      </w:r>
    </w:p>
    <w:p>
      <w:pPr>
        <w:autoSpaceDE w:val="0"/>
        <w:autoSpaceDN w:val="0"/>
        <w:snapToGrid w:val="0"/>
        <w:spacing w:line="56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（七）、政府性基金预算财政拨款收入支出决算表</w:t>
      </w:r>
    </w:p>
    <w:p>
      <w:pPr>
        <w:autoSpaceDE w:val="0"/>
        <w:autoSpaceDN w:val="0"/>
        <w:snapToGrid w:val="0"/>
        <w:spacing w:line="56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（八）、国有资本经营预算财政拨款收入支出决算表</w:t>
      </w:r>
    </w:p>
    <w:p>
      <w:pPr>
        <w:autoSpaceDE w:val="0"/>
        <w:autoSpaceDN w:val="0"/>
        <w:snapToGrid w:val="0"/>
        <w:spacing w:line="56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（九）、“三公”经费等相关信息统计表</w:t>
      </w:r>
    </w:p>
    <w:p>
      <w:pPr>
        <w:autoSpaceDE w:val="0"/>
        <w:autoSpaceDN w:val="0"/>
        <w:snapToGrid w:val="0"/>
        <w:spacing w:line="56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（十）、政府采购情况表</w:t>
      </w:r>
    </w:p>
    <w:p>
      <w:pPr>
        <w:spacing w:line="560" w:lineRule="exact"/>
        <w:ind w:firstLine="562" w:firstLineChars="200"/>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三、2017年度部门决算情况说明</w:t>
      </w:r>
    </w:p>
    <w:p>
      <w:pPr>
        <w:snapToGrid w:val="0"/>
        <w:spacing w:line="560" w:lineRule="exact"/>
        <w:ind w:firstLine="562" w:firstLineChars="200"/>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（一）收入支出决算总体情况说明</w:t>
      </w:r>
    </w:p>
    <w:p>
      <w:pPr>
        <w:snapToGrid w:val="0"/>
        <w:spacing w:line="56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霸州市政务服务管理办公室</w:t>
      </w:r>
      <w:r>
        <w:rPr>
          <w:rFonts w:hint="eastAsia" w:ascii="仿宋" w:hAnsi="仿宋" w:eastAsia="仿宋" w:cs="仿宋"/>
          <w:sz w:val="28"/>
          <w:szCs w:val="28"/>
          <w:highlight w:val="none"/>
        </w:rPr>
        <w:t>2017年度</w:t>
      </w:r>
      <w:r>
        <w:rPr>
          <w:rFonts w:hint="eastAsia" w:ascii="仿宋" w:hAnsi="仿宋" w:eastAsia="仿宋" w:cs="仿宋"/>
          <w:color w:val="000000"/>
          <w:sz w:val="28"/>
          <w:szCs w:val="28"/>
          <w:highlight w:val="none"/>
        </w:rPr>
        <w:t>决算收入总计</w:t>
      </w:r>
      <w:r>
        <w:rPr>
          <w:rFonts w:hint="eastAsia" w:ascii="仿宋" w:hAnsi="仿宋" w:eastAsia="仿宋" w:cs="仿宋"/>
          <w:sz w:val="28"/>
          <w:szCs w:val="28"/>
          <w:highlight w:val="none"/>
          <w:lang w:val="en-US" w:eastAsia="zh-CN"/>
        </w:rPr>
        <w:t>2424.97万元，决算支出总计2424.97万元。与2016年度决算相比，收入增加1707.54万元，增长238.01%，主要原因是政务服务大厅装修建设工程在17年进行了审计结算；支出增加1703.09万元，增长235.92%，主要原因是政务服务大厅装修建设工程在17年进行了审计结算。</w:t>
      </w:r>
    </w:p>
    <w:p>
      <w:pPr>
        <w:snapToGrid w:val="0"/>
        <w:spacing w:line="560" w:lineRule="exact"/>
        <w:ind w:firstLine="562" w:firstLineChars="200"/>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（二）收入决算情况说明</w:t>
      </w:r>
    </w:p>
    <w:p>
      <w:pPr>
        <w:widowControl/>
        <w:spacing w:line="5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霸州市政务服务管理办公室</w:t>
      </w:r>
      <w:r>
        <w:rPr>
          <w:rFonts w:hint="eastAsia" w:ascii="仿宋" w:hAnsi="仿宋" w:eastAsia="仿宋" w:cs="仿宋"/>
          <w:sz w:val="28"/>
          <w:szCs w:val="28"/>
          <w:highlight w:val="none"/>
        </w:rPr>
        <w:t>2017年度收入合计</w:t>
      </w:r>
      <w:r>
        <w:rPr>
          <w:rFonts w:hint="eastAsia" w:ascii="仿宋" w:hAnsi="仿宋" w:eastAsia="仿宋" w:cs="仿宋"/>
          <w:sz w:val="28"/>
          <w:szCs w:val="28"/>
          <w:highlight w:val="none"/>
          <w:lang w:val="en-US" w:eastAsia="zh-CN"/>
        </w:rPr>
        <w:t>2424.97</w:t>
      </w:r>
      <w:r>
        <w:rPr>
          <w:rFonts w:hint="eastAsia" w:ascii="仿宋" w:hAnsi="仿宋" w:eastAsia="仿宋" w:cs="仿宋"/>
          <w:sz w:val="28"/>
          <w:szCs w:val="28"/>
          <w:highlight w:val="none"/>
        </w:rPr>
        <w:t>万元，其中财政拨款收入</w:t>
      </w:r>
      <w:r>
        <w:rPr>
          <w:rFonts w:hint="eastAsia" w:ascii="仿宋" w:hAnsi="仿宋" w:eastAsia="仿宋" w:cs="仿宋"/>
          <w:sz w:val="28"/>
          <w:szCs w:val="28"/>
          <w:highlight w:val="none"/>
          <w:lang w:val="en-US" w:eastAsia="zh-CN"/>
        </w:rPr>
        <w:t>2424.97</w:t>
      </w:r>
      <w:r>
        <w:rPr>
          <w:rFonts w:hint="eastAsia" w:ascii="仿宋" w:hAnsi="仿宋" w:eastAsia="仿宋" w:cs="仿宋"/>
          <w:sz w:val="28"/>
          <w:szCs w:val="28"/>
          <w:highlight w:val="none"/>
        </w:rPr>
        <w:t>万元，占比</w:t>
      </w:r>
      <w:r>
        <w:rPr>
          <w:rFonts w:hint="eastAsia" w:ascii="仿宋" w:hAnsi="仿宋" w:eastAsia="仿宋" w:cs="仿宋"/>
          <w:sz w:val="28"/>
          <w:szCs w:val="28"/>
          <w:highlight w:val="none"/>
          <w:lang w:val="en-US" w:eastAsia="zh-CN"/>
        </w:rPr>
        <w:t>100</w:t>
      </w:r>
      <w:r>
        <w:rPr>
          <w:rFonts w:hint="eastAsia" w:ascii="仿宋" w:hAnsi="仿宋" w:eastAsia="仿宋" w:cs="仿宋"/>
          <w:sz w:val="28"/>
          <w:szCs w:val="28"/>
          <w:highlight w:val="none"/>
        </w:rPr>
        <w:t>%；事业收入</w:t>
      </w:r>
      <w:r>
        <w:rPr>
          <w:rFonts w:hint="eastAsia" w:ascii="仿宋" w:hAnsi="仿宋" w:eastAsia="仿宋" w:cs="仿宋"/>
          <w:sz w:val="28"/>
          <w:szCs w:val="28"/>
          <w:highlight w:val="none"/>
          <w:lang w:val="en-US" w:eastAsia="zh-CN"/>
        </w:rPr>
        <w:t>0</w:t>
      </w:r>
      <w:r>
        <w:rPr>
          <w:rFonts w:hint="eastAsia" w:ascii="仿宋" w:hAnsi="仿宋" w:eastAsia="仿宋" w:cs="仿宋"/>
          <w:sz w:val="28"/>
          <w:szCs w:val="28"/>
          <w:highlight w:val="none"/>
        </w:rPr>
        <w:t>万元，占比</w:t>
      </w:r>
      <w:r>
        <w:rPr>
          <w:rFonts w:hint="eastAsia" w:ascii="仿宋" w:hAnsi="仿宋" w:eastAsia="仿宋" w:cs="仿宋"/>
          <w:sz w:val="28"/>
          <w:szCs w:val="28"/>
          <w:highlight w:val="none"/>
          <w:lang w:val="en-US" w:eastAsia="zh-CN"/>
        </w:rPr>
        <w:t>0</w:t>
      </w:r>
      <w:r>
        <w:rPr>
          <w:rFonts w:hint="eastAsia" w:ascii="仿宋" w:hAnsi="仿宋" w:eastAsia="仿宋" w:cs="仿宋"/>
          <w:sz w:val="28"/>
          <w:szCs w:val="28"/>
          <w:highlight w:val="none"/>
        </w:rPr>
        <w:t>%；其他收入</w:t>
      </w:r>
      <w:r>
        <w:rPr>
          <w:rFonts w:hint="eastAsia" w:ascii="仿宋" w:hAnsi="仿宋" w:eastAsia="仿宋" w:cs="仿宋"/>
          <w:sz w:val="28"/>
          <w:szCs w:val="28"/>
          <w:highlight w:val="none"/>
          <w:lang w:val="en-US" w:eastAsia="zh-CN"/>
        </w:rPr>
        <w:t>0</w:t>
      </w:r>
      <w:r>
        <w:rPr>
          <w:rFonts w:hint="eastAsia" w:ascii="仿宋" w:hAnsi="仿宋" w:eastAsia="仿宋" w:cs="仿宋"/>
          <w:sz w:val="28"/>
          <w:szCs w:val="28"/>
          <w:highlight w:val="none"/>
        </w:rPr>
        <w:t>万元，占比</w:t>
      </w:r>
      <w:r>
        <w:rPr>
          <w:rFonts w:hint="eastAsia" w:ascii="仿宋" w:hAnsi="仿宋" w:eastAsia="仿宋" w:cs="仿宋"/>
          <w:sz w:val="28"/>
          <w:szCs w:val="28"/>
          <w:highlight w:val="none"/>
          <w:lang w:val="en-US" w:eastAsia="zh-CN"/>
        </w:rPr>
        <w:t>0</w:t>
      </w:r>
      <w:r>
        <w:rPr>
          <w:rFonts w:hint="eastAsia" w:ascii="仿宋" w:hAnsi="仿宋" w:eastAsia="仿宋" w:cs="仿宋"/>
          <w:sz w:val="28"/>
          <w:szCs w:val="28"/>
          <w:highlight w:val="none"/>
        </w:rPr>
        <w:t>%。</w:t>
      </w:r>
    </w:p>
    <w:p>
      <w:pPr>
        <w:snapToGrid w:val="0"/>
        <w:spacing w:line="560" w:lineRule="exact"/>
        <w:ind w:firstLine="562" w:firstLineChars="200"/>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（三）支出决算情况说明</w:t>
      </w:r>
    </w:p>
    <w:p>
      <w:pPr>
        <w:widowControl/>
        <w:spacing w:line="5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霸州市政务服务管理办公室</w:t>
      </w:r>
      <w:r>
        <w:rPr>
          <w:rFonts w:hint="eastAsia" w:ascii="仿宋" w:hAnsi="仿宋" w:eastAsia="仿宋" w:cs="仿宋"/>
          <w:sz w:val="28"/>
          <w:szCs w:val="28"/>
          <w:highlight w:val="none"/>
        </w:rPr>
        <w:t>2017年部门决算支出为</w:t>
      </w:r>
      <w:r>
        <w:rPr>
          <w:rFonts w:hint="eastAsia" w:ascii="仿宋" w:hAnsi="仿宋" w:eastAsia="仿宋" w:cs="仿宋"/>
          <w:sz w:val="28"/>
          <w:szCs w:val="28"/>
          <w:highlight w:val="none"/>
          <w:lang w:val="en-US" w:eastAsia="zh-CN"/>
        </w:rPr>
        <w:t>2424.97</w:t>
      </w:r>
      <w:r>
        <w:rPr>
          <w:rFonts w:hint="eastAsia" w:ascii="仿宋" w:hAnsi="仿宋" w:eastAsia="仿宋" w:cs="仿宋"/>
          <w:sz w:val="28"/>
          <w:szCs w:val="28"/>
          <w:highlight w:val="none"/>
        </w:rPr>
        <w:t>万元，其中：基本支出</w:t>
      </w:r>
      <w:r>
        <w:rPr>
          <w:rFonts w:hint="eastAsia" w:ascii="仿宋" w:hAnsi="仿宋" w:eastAsia="仿宋" w:cs="仿宋"/>
          <w:sz w:val="28"/>
          <w:szCs w:val="28"/>
          <w:highlight w:val="none"/>
          <w:lang w:val="en-US" w:eastAsia="zh-CN"/>
        </w:rPr>
        <w:t>223.30</w:t>
      </w:r>
      <w:r>
        <w:rPr>
          <w:rFonts w:hint="eastAsia" w:ascii="仿宋" w:hAnsi="仿宋" w:eastAsia="仿宋" w:cs="仿宋"/>
          <w:sz w:val="28"/>
          <w:szCs w:val="28"/>
          <w:highlight w:val="none"/>
        </w:rPr>
        <w:t>万元，占比</w:t>
      </w:r>
      <w:r>
        <w:rPr>
          <w:rFonts w:hint="eastAsia" w:ascii="仿宋" w:hAnsi="仿宋" w:eastAsia="仿宋" w:cs="仿宋"/>
          <w:sz w:val="28"/>
          <w:szCs w:val="28"/>
          <w:highlight w:val="none"/>
          <w:lang w:val="en-US" w:eastAsia="zh-CN"/>
        </w:rPr>
        <w:t>9.2</w:t>
      </w:r>
      <w:r>
        <w:rPr>
          <w:rFonts w:hint="eastAsia" w:ascii="仿宋" w:hAnsi="仿宋" w:eastAsia="仿宋" w:cs="仿宋"/>
          <w:sz w:val="28"/>
          <w:szCs w:val="28"/>
          <w:highlight w:val="none"/>
        </w:rPr>
        <w:t>%，包含人员经费支出</w:t>
      </w:r>
      <w:r>
        <w:rPr>
          <w:rFonts w:hint="eastAsia" w:ascii="仿宋" w:hAnsi="仿宋" w:eastAsia="仿宋" w:cs="仿宋"/>
          <w:sz w:val="28"/>
          <w:szCs w:val="28"/>
          <w:highlight w:val="none"/>
          <w:lang w:val="en-US" w:eastAsia="zh-CN"/>
        </w:rPr>
        <w:t>0</w:t>
      </w:r>
      <w:r>
        <w:rPr>
          <w:rFonts w:hint="eastAsia" w:ascii="仿宋" w:hAnsi="仿宋" w:eastAsia="仿宋" w:cs="仿宋"/>
          <w:sz w:val="28"/>
          <w:szCs w:val="28"/>
          <w:highlight w:val="none"/>
        </w:rPr>
        <w:t>万元和日常公用经费支出</w:t>
      </w:r>
      <w:r>
        <w:rPr>
          <w:rFonts w:hint="eastAsia" w:ascii="仿宋" w:hAnsi="仿宋" w:eastAsia="仿宋" w:cs="仿宋"/>
          <w:sz w:val="28"/>
          <w:szCs w:val="28"/>
          <w:highlight w:val="none"/>
          <w:lang w:val="en-US" w:eastAsia="zh-CN"/>
        </w:rPr>
        <w:t>223.30</w:t>
      </w:r>
      <w:r>
        <w:rPr>
          <w:rFonts w:hint="eastAsia" w:ascii="仿宋" w:hAnsi="仿宋" w:eastAsia="仿宋" w:cs="仿宋"/>
          <w:sz w:val="28"/>
          <w:szCs w:val="28"/>
          <w:highlight w:val="none"/>
        </w:rPr>
        <w:t>万元；项目支出</w:t>
      </w:r>
      <w:r>
        <w:rPr>
          <w:rFonts w:hint="eastAsia" w:ascii="仿宋" w:hAnsi="仿宋" w:eastAsia="仿宋" w:cs="仿宋"/>
          <w:sz w:val="28"/>
          <w:szCs w:val="28"/>
          <w:highlight w:val="none"/>
          <w:lang w:val="en-US" w:eastAsia="zh-CN"/>
        </w:rPr>
        <w:t>2201.68</w:t>
      </w:r>
      <w:r>
        <w:rPr>
          <w:rFonts w:hint="eastAsia" w:ascii="仿宋" w:hAnsi="仿宋" w:eastAsia="仿宋" w:cs="仿宋"/>
          <w:sz w:val="28"/>
          <w:szCs w:val="28"/>
          <w:highlight w:val="none"/>
        </w:rPr>
        <w:t>万元，占比</w:t>
      </w:r>
      <w:r>
        <w:rPr>
          <w:rFonts w:hint="eastAsia" w:ascii="仿宋" w:hAnsi="仿宋" w:eastAsia="仿宋" w:cs="仿宋"/>
          <w:sz w:val="28"/>
          <w:szCs w:val="28"/>
          <w:highlight w:val="none"/>
          <w:lang w:val="en-US" w:eastAsia="zh-CN"/>
        </w:rPr>
        <w:t>90.8</w:t>
      </w:r>
      <w:r>
        <w:rPr>
          <w:rFonts w:hint="eastAsia" w:ascii="仿宋" w:hAnsi="仿宋" w:eastAsia="仿宋" w:cs="仿宋"/>
          <w:sz w:val="28"/>
          <w:szCs w:val="28"/>
          <w:highlight w:val="none"/>
        </w:rPr>
        <w:t>%。</w:t>
      </w:r>
    </w:p>
    <w:p>
      <w:pPr>
        <w:snapToGrid w:val="0"/>
        <w:spacing w:line="560" w:lineRule="exact"/>
        <w:ind w:firstLine="562" w:firstLineChars="200"/>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（四）财政拨款收入支出决算总体情况说明</w:t>
      </w:r>
    </w:p>
    <w:p>
      <w:pPr>
        <w:widowControl/>
        <w:spacing w:line="560" w:lineRule="exact"/>
        <w:ind w:firstLine="562" w:firstLineChars="200"/>
        <w:rPr>
          <w:rFonts w:hint="eastAsia" w:ascii="仿宋" w:hAnsi="仿宋" w:eastAsia="仿宋" w:cs="仿宋"/>
          <w:b/>
          <w:bCs/>
          <w:color w:val="FF0000"/>
          <w:sz w:val="28"/>
          <w:szCs w:val="28"/>
          <w:highlight w:val="none"/>
        </w:rPr>
      </w:pPr>
      <w:r>
        <w:rPr>
          <w:rFonts w:hint="eastAsia" w:ascii="仿宋" w:hAnsi="仿宋" w:eastAsia="仿宋" w:cs="仿宋"/>
          <w:b/>
          <w:bCs/>
          <w:sz w:val="28"/>
          <w:szCs w:val="28"/>
          <w:highlight w:val="none"/>
        </w:rPr>
        <w:t>1、财政拨款收支与2016年度决算对比情况</w:t>
      </w:r>
    </w:p>
    <w:p>
      <w:pPr>
        <w:snapToGrid w:val="0"/>
        <w:spacing w:line="56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霸州市政务服务管理办公室2017年财政拨款收入决算总计2424.97万元，较2016年度决算增加1707.54万元，增长238.01%，主要原因是政务服务大厅装修建设工程在17年进行了审计结算。其中，一般公共预算拨款增加1707.54万元，政府性基金预算财政拨款0万元。2017年财政拨款支出决算总计2424.97万元，较2016年度决算增加1703.09万元，增长235.92%，主要原因是政务服务大厅装修建设工程在17年进行了审计结算。其中基本支出减少6.25万元，项目支出增加1709.35万元。</w:t>
      </w:r>
    </w:p>
    <w:p>
      <w:pPr>
        <w:widowControl/>
        <w:spacing w:line="560" w:lineRule="exact"/>
        <w:ind w:firstLine="562" w:firstLineChars="200"/>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2、财政拨款收支与年初预算数对比情况</w:t>
      </w:r>
    </w:p>
    <w:p>
      <w:pPr>
        <w:snapToGrid w:val="0"/>
        <w:spacing w:line="560" w:lineRule="exact"/>
        <w:ind w:firstLine="560" w:firstLineChars="200"/>
        <w:rPr>
          <w:rFonts w:hint="eastAsia" w:ascii="仿宋" w:hAnsi="仿宋" w:eastAsia="仿宋" w:cs="仿宋"/>
          <w:color w:val="000000"/>
          <w:sz w:val="28"/>
          <w:szCs w:val="28"/>
          <w:highlight w:val="none"/>
        </w:rPr>
      </w:pPr>
      <w:r>
        <w:rPr>
          <w:rFonts w:hint="eastAsia" w:ascii="仿宋" w:hAnsi="仿宋" w:eastAsia="仿宋" w:cs="仿宋"/>
          <w:sz w:val="28"/>
          <w:szCs w:val="28"/>
          <w:highlight w:val="none"/>
          <w:lang w:val="en-US" w:eastAsia="zh-CN"/>
        </w:rPr>
        <w:t>霸州市政务服务管理办公室2017年财政拨款收入决算总计2424.97万元，较年初预算增加1758.59万元，增长263.90%，主要原因是政务服务大厅装修建设工程在17年进行了审计结算。其中，一般公共预算拨款增加1758.59万元，政府性基金预算财政拨款0万元。2017年财政拨款支出决算总计2424.97万元，较年初预算增加1758.59万元，增长263.90%，主要原因是政务服务大厅装修建设工程在17年进行了审计结算。其中基本支出减少2.03万元，项目支出增加1760.63万元</w:t>
      </w:r>
      <w:r>
        <w:rPr>
          <w:rFonts w:hint="eastAsia" w:ascii="仿宋" w:hAnsi="仿宋" w:eastAsia="仿宋" w:cs="仿宋"/>
          <w:color w:val="000000"/>
          <w:sz w:val="28"/>
          <w:szCs w:val="28"/>
          <w:highlight w:val="none"/>
        </w:rPr>
        <w:t>。</w:t>
      </w:r>
    </w:p>
    <w:p>
      <w:pPr>
        <w:snapToGrid w:val="0"/>
        <w:spacing w:line="560" w:lineRule="exact"/>
        <w:ind w:firstLine="562" w:firstLineChars="200"/>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（五）“三公”经费支出决算情况说明</w:t>
      </w:r>
    </w:p>
    <w:p>
      <w:pPr>
        <w:snapToGrid w:val="0"/>
        <w:spacing w:line="56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2017年度部门“三公”</w:t>
      </w:r>
      <w:r>
        <w:rPr>
          <w:rFonts w:hint="eastAsia" w:ascii="仿宋" w:hAnsi="仿宋" w:eastAsia="仿宋" w:cs="仿宋"/>
          <w:sz w:val="28"/>
          <w:szCs w:val="28"/>
          <w:highlight w:val="none"/>
          <w:lang w:val="en-US" w:eastAsia="zh-CN"/>
        </w:rPr>
        <w:t>经费支出0万元，与预算持平，比2016年度决算减少2.5万元。原因是政务服务管理办公室隶属于市政府办公室因公车机构改革，减少公务用车运行2017年6月行政审批局成立，政务服务管理办公室所有职能划转入行政审批局，17年下半年机要通讯用车才调剂到位。其中：因公出国（境）费0万元（本单位2017年度组织出国（境）团组0个，因公出国（境）人次数0人），与预算持平，与2016年度决算持平，</w:t>
      </w:r>
      <w:r>
        <w:rPr>
          <w:rFonts w:hint="eastAsia" w:ascii="仿宋" w:hAnsi="仿宋" w:eastAsia="仿宋" w:cs="仿宋"/>
          <w:sz w:val="28"/>
          <w:szCs w:val="28"/>
          <w:highlight w:val="none"/>
        </w:rPr>
        <w:t>原因是单位例行勤俭节约，杜绝各种不合理开支，严格部门财经纪律</w:t>
      </w:r>
      <w:r>
        <w:rPr>
          <w:rFonts w:hint="eastAsia" w:ascii="仿宋" w:hAnsi="仿宋" w:eastAsia="仿宋" w:cs="仿宋"/>
          <w:sz w:val="28"/>
          <w:szCs w:val="28"/>
          <w:highlight w:val="none"/>
          <w:lang w:val="en-US" w:eastAsia="zh-CN"/>
        </w:rPr>
        <w:t>；公务用车购置及运行维护费0万元（公务用车购置数量0辆，购置金额0万元，公车运行维护费0万元，年末公务用车保有量1辆），与预算持平，比2016年度决算减少2.5万元，原因是政务服务管理办公室隶属于市政府办公室因公车机构改革，减少公务用车运行2017年6月行政审批局成立，政务服务管理办公室所有职能划转入行政审批局，17年下半年机要通讯用车才调剂到位；公务接待费0万元（2017年度国内公务接待0批次，合计接待0人次），与预算持平，与2016年度决算持平，</w:t>
      </w:r>
      <w:r>
        <w:rPr>
          <w:rFonts w:hint="eastAsia" w:ascii="仿宋" w:hAnsi="仿宋" w:eastAsia="仿宋" w:cs="仿宋"/>
          <w:sz w:val="28"/>
          <w:szCs w:val="28"/>
          <w:highlight w:val="none"/>
        </w:rPr>
        <w:t>原因是单位例行勤俭节约，杜绝各种不合理开支，严格部门财经纪律。</w:t>
      </w:r>
    </w:p>
    <w:p>
      <w:pPr>
        <w:snapToGrid w:val="0"/>
        <w:spacing w:line="560" w:lineRule="exact"/>
        <w:ind w:firstLine="562" w:firstLineChars="200"/>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（六）预算绩效管理工作开展情况说明</w:t>
      </w:r>
    </w:p>
    <w:p>
      <w:pPr>
        <w:spacing w:line="580" w:lineRule="atLeast"/>
        <w:ind w:firstLine="562" w:firstLineChars="200"/>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1、预算绩效管理工作开展情况</w:t>
      </w:r>
    </w:p>
    <w:p>
      <w:pPr>
        <w:spacing w:line="580" w:lineRule="atLeas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color w:val="000000" w:themeColor="text1"/>
          <w:sz w:val="28"/>
          <w:szCs w:val="28"/>
          <w:highlight w:val="none"/>
          <w14:textFill>
            <w14:solidFill>
              <w14:schemeClr w14:val="tx1"/>
            </w14:solidFill>
          </w14:textFill>
        </w:rPr>
        <w:t>根</w:t>
      </w:r>
      <w:r>
        <w:rPr>
          <w:rFonts w:hint="eastAsia" w:ascii="仿宋" w:hAnsi="仿宋" w:eastAsia="仿宋" w:cs="仿宋"/>
          <w:sz w:val="28"/>
          <w:szCs w:val="28"/>
          <w:highlight w:val="none"/>
          <w:lang w:val="en-US" w:eastAsia="zh-CN"/>
        </w:rPr>
        <w:t>据市财政预算绩效管理要求，以“部门职责-工作活动”为依据，确定部门预算项目和预算额度，清晰描述预算项目开支范围和内容，确定预算项目的绩效目标、绩效指标和评价标准，为预算绩效控制、绩效分析、绩效评价打下好的基础。</w:t>
      </w:r>
    </w:p>
    <w:p>
      <w:pPr>
        <w:spacing w:line="580" w:lineRule="atLeast"/>
        <w:ind w:firstLine="562" w:firstLineChars="200"/>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2、预算项目绩效评价开展情况</w:t>
      </w:r>
    </w:p>
    <w:p>
      <w:pPr>
        <w:spacing w:line="580" w:lineRule="atLeas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按照市财政预算绩效管理要求，对2016年确定的部门一般公共预算支出项目全面开展了绩效自评。</w:t>
      </w:r>
    </w:p>
    <w:p>
      <w:pPr>
        <w:snapToGrid w:val="0"/>
        <w:spacing w:line="560" w:lineRule="exact"/>
        <w:ind w:firstLine="562" w:firstLineChars="200"/>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（七）其他重要事项的说明</w:t>
      </w:r>
    </w:p>
    <w:p>
      <w:pPr>
        <w:widowControl/>
        <w:spacing w:line="560" w:lineRule="exact"/>
        <w:ind w:firstLine="562" w:firstLineChars="200"/>
        <w:rPr>
          <w:rFonts w:hint="eastAsia" w:ascii="仿宋" w:hAnsi="仿宋" w:eastAsia="仿宋" w:cs="仿宋"/>
          <w:sz w:val="28"/>
          <w:szCs w:val="28"/>
          <w:highlight w:val="none"/>
        </w:rPr>
      </w:pPr>
      <w:r>
        <w:rPr>
          <w:rFonts w:hint="eastAsia" w:ascii="仿宋" w:hAnsi="仿宋" w:eastAsia="仿宋" w:cs="仿宋"/>
          <w:b/>
          <w:bCs/>
          <w:sz w:val="28"/>
          <w:szCs w:val="28"/>
          <w:highlight w:val="none"/>
        </w:rPr>
        <w:t>1、机关运行经费情况：</w:t>
      </w:r>
      <w:r>
        <w:rPr>
          <w:rFonts w:hint="eastAsia" w:ascii="仿宋" w:hAnsi="仿宋" w:eastAsia="仿宋" w:cs="仿宋"/>
          <w:sz w:val="28"/>
          <w:szCs w:val="28"/>
          <w:highlight w:val="none"/>
        </w:rPr>
        <w:t>2017年度部门机关运行经费支出</w:t>
      </w:r>
      <w:r>
        <w:rPr>
          <w:rFonts w:hint="eastAsia" w:ascii="仿宋" w:hAnsi="仿宋" w:eastAsia="仿宋" w:cs="仿宋"/>
          <w:sz w:val="28"/>
          <w:szCs w:val="28"/>
          <w:highlight w:val="none"/>
          <w:lang w:val="en-US" w:eastAsia="zh-CN"/>
        </w:rPr>
        <w:t>223.30</w:t>
      </w:r>
      <w:r>
        <w:rPr>
          <w:rFonts w:hint="eastAsia" w:ascii="仿宋" w:hAnsi="仿宋" w:eastAsia="仿宋" w:cs="仿宋"/>
          <w:sz w:val="28"/>
          <w:szCs w:val="28"/>
          <w:highlight w:val="none"/>
        </w:rPr>
        <w:t>万元，比2016年度减少</w:t>
      </w:r>
      <w:r>
        <w:rPr>
          <w:rFonts w:hint="eastAsia" w:ascii="仿宋" w:hAnsi="仿宋" w:eastAsia="仿宋" w:cs="仿宋"/>
          <w:sz w:val="28"/>
          <w:szCs w:val="28"/>
          <w:highlight w:val="none"/>
          <w:lang w:val="en-US" w:eastAsia="zh-CN"/>
        </w:rPr>
        <w:t>6.25</w:t>
      </w:r>
      <w:r>
        <w:rPr>
          <w:rFonts w:hint="eastAsia" w:ascii="仿宋" w:hAnsi="仿宋" w:eastAsia="仿宋" w:cs="仿宋"/>
          <w:sz w:val="28"/>
          <w:szCs w:val="28"/>
          <w:highlight w:val="none"/>
        </w:rPr>
        <w:t>万元，下降</w:t>
      </w:r>
      <w:r>
        <w:rPr>
          <w:rFonts w:hint="eastAsia" w:ascii="仿宋" w:hAnsi="仿宋" w:eastAsia="仿宋" w:cs="仿宋"/>
          <w:sz w:val="28"/>
          <w:szCs w:val="28"/>
          <w:highlight w:val="none"/>
          <w:lang w:val="en-US" w:eastAsia="zh-CN"/>
        </w:rPr>
        <w:t>2.7</w:t>
      </w:r>
      <w:r>
        <w:rPr>
          <w:rFonts w:hint="eastAsia" w:ascii="仿宋" w:hAnsi="仿宋" w:eastAsia="仿宋" w:cs="仿宋"/>
          <w:sz w:val="28"/>
          <w:szCs w:val="28"/>
          <w:highlight w:val="none"/>
        </w:rPr>
        <w:t>%。主要原因是单位例行勤俭节约，杜绝各种不合理开支，严格部门财经纪律。</w:t>
      </w:r>
    </w:p>
    <w:p>
      <w:pPr>
        <w:autoSpaceDE w:val="0"/>
        <w:autoSpaceDN w:val="0"/>
        <w:snapToGrid w:val="0"/>
        <w:spacing w:line="560" w:lineRule="exact"/>
        <w:ind w:firstLine="562" w:firstLineChars="200"/>
        <w:rPr>
          <w:rFonts w:hint="eastAsia" w:ascii="仿宋" w:hAnsi="仿宋" w:eastAsia="仿宋" w:cs="仿宋"/>
          <w:color w:val="333333"/>
          <w:kern w:val="0"/>
          <w:sz w:val="28"/>
          <w:szCs w:val="28"/>
          <w:highlight w:val="none"/>
          <w:shd w:val="clear" w:color="auto" w:fill="FFFFFF"/>
        </w:rPr>
      </w:pPr>
      <w:r>
        <w:rPr>
          <w:rFonts w:hint="eastAsia" w:ascii="仿宋" w:hAnsi="仿宋" w:eastAsia="仿宋" w:cs="仿宋"/>
          <w:b/>
          <w:bCs/>
          <w:sz w:val="28"/>
          <w:szCs w:val="28"/>
          <w:highlight w:val="none"/>
        </w:rPr>
        <w:t>2、政府采购情况：</w:t>
      </w:r>
      <w:r>
        <w:rPr>
          <w:rFonts w:hint="eastAsia" w:ascii="仿宋" w:hAnsi="仿宋" w:eastAsia="仿宋" w:cs="仿宋"/>
          <w:sz w:val="28"/>
          <w:szCs w:val="28"/>
          <w:highlight w:val="none"/>
        </w:rPr>
        <w:t>2017年度部门政府采购支出</w:t>
      </w:r>
      <w:r>
        <w:rPr>
          <w:rFonts w:hint="eastAsia" w:ascii="仿宋" w:hAnsi="仿宋" w:eastAsia="仿宋" w:cs="仿宋"/>
          <w:sz w:val="28"/>
          <w:szCs w:val="28"/>
          <w:highlight w:val="none"/>
          <w:lang w:val="en-US" w:eastAsia="zh-CN"/>
        </w:rPr>
        <w:t>29.45</w:t>
      </w:r>
      <w:r>
        <w:rPr>
          <w:rFonts w:hint="eastAsia" w:ascii="仿宋" w:hAnsi="仿宋" w:eastAsia="仿宋" w:cs="仿宋"/>
          <w:sz w:val="28"/>
          <w:szCs w:val="28"/>
          <w:highlight w:val="none"/>
        </w:rPr>
        <w:t>万元，其中：政府采购货物支出</w:t>
      </w:r>
      <w:r>
        <w:rPr>
          <w:rFonts w:hint="eastAsia" w:ascii="仿宋" w:hAnsi="仿宋" w:eastAsia="仿宋" w:cs="仿宋"/>
          <w:sz w:val="28"/>
          <w:szCs w:val="28"/>
          <w:highlight w:val="none"/>
          <w:lang w:val="en-US" w:eastAsia="zh-CN"/>
        </w:rPr>
        <w:t>29.45</w:t>
      </w:r>
      <w:r>
        <w:rPr>
          <w:rFonts w:hint="eastAsia" w:ascii="仿宋" w:hAnsi="仿宋" w:eastAsia="仿宋" w:cs="仿宋"/>
          <w:sz w:val="28"/>
          <w:szCs w:val="28"/>
          <w:highlight w:val="none"/>
        </w:rPr>
        <w:t>万元，政府采购工程支出</w:t>
      </w:r>
      <w:r>
        <w:rPr>
          <w:rFonts w:hint="eastAsia" w:ascii="仿宋" w:hAnsi="仿宋" w:eastAsia="仿宋" w:cs="仿宋"/>
          <w:sz w:val="28"/>
          <w:szCs w:val="28"/>
          <w:highlight w:val="none"/>
          <w:lang w:val="en-US" w:eastAsia="zh-CN"/>
        </w:rPr>
        <w:t>0</w:t>
      </w:r>
      <w:r>
        <w:rPr>
          <w:rFonts w:hint="eastAsia" w:ascii="仿宋" w:hAnsi="仿宋" w:eastAsia="仿宋" w:cs="仿宋"/>
          <w:sz w:val="28"/>
          <w:szCs w:val="28"/>
          <w:highlight w:val="none"/>
        </w:rPr>
        <w:t>万元，政府采购服务支出</w:t>
      </w:r>
      <w:r>
        <w:rPr>
          <w:rFonts w:hint="eastAsia" w:ascii="仿宋" w:hAnsi="仿宋" w:eastAsia="仿宋" w:cs="仿宋"/>
          <w:sz w:val="28"/>
          <w:szCs w:val="28"/>
          <w:highlight w:val="none"/>
          <w:lang w:val="en-US" w:eastAsia="zh-CN"/>
        </w:rPr>
        <w:t>0</w:t>
      </w:r>
      <w:r>
        <w:rPr>
          <w:rFonts w:hint="eastAsia" w:ascii="仿宋" w:hAnsi="仿宋" w:eastAsia="仿宋" w:cs="仿宋"/>
          <w:sz w:val="28"/>
          <w:szCs w:val="28"/>
          <w:highlight w:val="none"/>
        </w:rPr>
        <w:t>万元。</w:t>
      </w:r>
    </w:p>
    <w:p>
      <w:pPr>
        <w:widowControl/>
        <w:spacing w:line="560" w:lineRule="exact"/>
        <w:ind w:firstLine="562" w:firstLineChars="200"/>
        <w:rPr>
          <w:rFonts w:hint="eastAsia" w:ascii="仿宋" w:hAnsi="仿宋" w:eastAsia="仿宋" w:cs="仿宋"/>
          <w:color w:val="FF0000"/>
          <w:kern w:val="0"/>
          <w:sz w:val="28"/>
          <w:szCs w:val="28"/>
          <w:highlight w:val="none"/>
          <w:shd w:val="clear" w:color="auto" w:fill="FFFFFF"/>
        </w:rPr>
      </w:pPr>
      <w:r>
        <w:rPr>
          <w:rFonts w:hint="eastAsia" w:ascii="仿宋" w:hAnsi="仿宋" w:eastAsia="仿宋" w:cs="仿宋"/>
          <w:b/>
          <w:bCs/>
          <w:sz w:val="28"/>
          <w:szCs w:val="28"/>
          <w:highlight w:val="none"/>
        </w:rPr>
        <w:t>3、国有资产占用情况:</w:t>
      </w:r>
      <w:r>
        <w:rPr>
          <w:rFonts w:hint="eastAsia" w:ascii="仿宋" w:hAnsi="仿宋" w:eastAsia="仿宋" w:cs="仿宋"/>
          <w:color w:val="000000"/>
          <w:sz w:val="28"/>
          <w:szCs w:val="28"/>
          <w:highlight w:val="none"/>
        </w:rPr>
        <w:t>截至2017年12月31日，本部门共有车辆</w:t>
      </w:r>
      <w:r>
        <w:rPr>
          <w:rFonts w:hint="eastAsia" w:ascii="仿宋" w:hAnsi="仿宋" w:eastAsia="仿宋" w:cs="仿宋"/>
          <w:color w:val="000000"/>
          <w:sz w:val="28"/>
          <w:szCs w:val="28"/>
          <w:highlight w:val="none"/>
          <w:lang w:val="en-US" w:eastAsia="zh-CN"/>
        </w:rPr>
        <w:t>1</w:t>
      </w:r>
      <w:r>
        <w:rPr>
          <w:rFonts w:hint="eastAsia" w:ascii="仿宋" w:hAnsi="仿宋" w:eastAsia="仿宋" w:cs="仿宋"/>
          <w:color w:val="000000"/>
          <w:sz w:val="28"/>
          <w:szCs w:val="28"/>
          <w:highlight w:val="none"/>
        </w:rPr>
        <w:t>辆，其中，一般公务用车</w:t>
      </w:r>
      <w:r>
        <w:rPr>
          <w:rFonts w:hint="eastAsia" w:ascii="仿宋" w:hAnsi="仿宋" w:eastAsia="仿宋" w:cs="仿宋"/>
          <w:color w:val="000000"/>
          <w:sz w:val="28"/>
          <w:szCs w:val="28"/>
          <w:highlight w:val="none"/>
          <w:lang w:val="en-US" w:eastAsia="zh-CN"/>
        </w:rPr>
        <w:t>1</w:t>
      </w:r>
      <w:r>
        <w:rPr>
          <w:rFonts w:hint="eastAsia" w:ascii="仿宋" w:hAnsi="仿宋" w:eastAsia="仿宋" w:cs="仿宋"/>
          <w:color w:val="000000"/>
          <w:sz w:val="28"/>
          <w:szCs w:val="28"/>
          <w:highlight w:val="none"/>
        </w:rPr>
        <w:t>辆；单位价值50万元以上通用设备</w:t>
      </w:r>
      <w:r>
        <w:rPr>
          <w:rFonts w:hint="eastAsia" w:ascii="仿宋" w:hAnsi="仿宋" w:eastAsia="仿宋" w:cs="仿宋"/>
          <w:color w:val="000000"/>
          <w:sz w:val="28"/>
          <w:szCs w:val="28"/>
          <w:highlight w:val="none"/>
          <w:lang w:val="en-US" w:eastAsia="zh-CN"/>
        </w:rPr>
        <w:t>0</w:t>
      </w:r>
      <w:r>
        <w:rPr>
          <w:rFonts w:hint="eastAsia" w:ascii="仿宋" w:hAnsi="仿宋" w:eastAsia="仿宋" w:cs="仿宋"/>
          <w:color w:val="000000"/>
          <w:sz w:val="28"/>
          <w:szCs w:val="28"/>
          <w:highlight w:val="none"/>
        </w:rPr>
        <w:t>台（套），单价100万元以上专用设备</w:t>
      </w:r>
      <w:r>
        <w:rPr>
          <w:rFonts w:hint="eastAsia" w:ascii="仿宋" w:hAnsi="仿宋" w:eastAsia="仿宋" w:cs="仿宋"/>
          <w:color w:val="000000"/>
          <w:sz w:val="28"/>
          <w:szCs w:val="28"/>
          <w:highlight w:val="none"/>
          <w:lang w:val="en-US" w:eastAsia="zh-CN"/>
        </w:rPr>
        <w:t>0</w:t>
      </w:r>
      <w:r>
        <w:rPr>
          <w:rFonts w:hint="eastAsia" w:ascii="仿宋" w:hAnsi="仿宋" w:eastAsia="仿宋" w:cs="仿宋"/>
          <w:color w:val="000000"/>
          <w:sz w:val="28"/>
          <w:szCs w:val="28"/>
          <w:highlight w:val="none"/>
        </w:rPr>
        <w:t>台（套）。</w:t>
      </w:r>
    </w:p>
    <w:p>
      <w:pPr>
        <w:widowControl/>
        <w:spacing w:line="560" w:lineRule="exact"/>
        <w:ind w:firstLine="560" w:firstLineChars="200"/>
        <w:rPr>
          <w:rFonts w:hint="eastAsia" w:ascii="仿宋" w:hAnsi="仿宋" w:eastAsia="仿宋" w:cs="仿宋"/>
          <w:color w:val="FF0000"/>
          <w:kern w:val="0"/>
          <w:sz w:val="28"/>
          <w:szCs w:val="28"/>
          <w:highlight w:val="none"/>
          <w:shd w:val="clear" w:color="auto" w:fill="FFFFFF"/>
        </w:rPr>
      </w:pPr>
    </w:p>
    <w:tbl>
      <w:tblPr>
        <w:tblStyle w:val="6"/>
        <w:tblW w:w="14174" w:type="dxa"/>
        <w:tblInd w:w="0" w:type="dxa"/>
        <w:tblLayout w:type="fixed"/>
        <w:tblCellMar>
          <w:top w:w="0" w:type="dxa"/>
          <w:left w:w="108" w:type="dxa"/>
          <w:bottom w:w="0" w:type="dxa"/>
          <w:right w:w="108" w:type="dxa"/>
        </w:tblCellMar>
      </w:tblPr>
      <w:tblGrid>
        <w:gridCol w:w="5493"/>
        <w:gridCol w:w="3314"/>
        <w:gridCol w:w="5367"/>
      </w:tblGrid>
      <w:tr>
        <w:tblPrEx>
          <w:tblLayout w:type="fixed"/>
          <w:tblCellMar>
            <w:top w:w="0" w:type="dxa"/>
            <w:left w:w="108" w:type="dxa"/>
            <w:bottom w:w="0" w:type="dxa"/>
            <w:right w:w="108" w:type="dxa"/>
          </w:tblCellMar>
        </w:tblPrEx>
        <w:trPr>
          <w:trHeight w:val="575" w:hRule="atLeast"/>
        </w:trPr>
        <w:tc>
          <w:tcPr>
            <w:tcW w:w="14174" w:type="dxa"/>
            <w:gridSpan w:val="3"/>
            <w:tcBorders>
              <w:top w:val="nil"/>
              <w:left w:val="nil"/>
              <w:bottom w:val="nil"/>
              <w:right w:val="nil"/>
            </w:tcBorders>
            <w:vAlign w:val="center"/>
          </w:tcPr>
          <w:p>
            <w:pPr>
              <w:widowControl/>
              <w:spacing w:line="560" w:lineRule="exact"/>
              <w:ind w:firstLine="562" w:firstLineChars="200"/>
              <w:jc w:val="center"/>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lang w:val="en-US" w:eastAsia="zh-CN"/>
              </w:rPr>
              <w:t>霸州市政务服务管理办公室</w:t>
            </w:r>
            <w:r>
              <w:rPr>
                <w:rFonts w:hint="eastAsia" w:ascii="仿宋" w:hAnsi="仿宋" w:eastAsia="仿宋" w:cs="仿宋"/>
                <w:b/>
                <w:bCs/>
                <w:kern w:val="0"/>
                <w:sz w:val="28"/>
                <w:szCs w:val="28"/>
                <w:highlight w:val="none"/>
              </w:rPr>
              <w:t>固定资产占用情况表</w:t>
            </w:r>
          </w:p>
          <w:p>
            <w:pPr>
              <w:autoSpaceDE w:val="0"/>
              <w:autoSpaceDN w:val="0"/>
              <w:snapToGrid w:val="0"/>
              <w:spacing w:line="560" w:lineRule="exact"/>
              <w:ind w:firstLine="562" w:firstLineChars="200"/>
              <w:jc w:val="center"/>
              <w:rPr>
                <w:rFonts w:hint="eastAsia" w:ascii="仿宋" w:hAnsi="仿宋" w:eastAsia="仿宋" w:cs="仿宋"/>
                <w:b/>
                <w:bCs/>
                <w:kern w:val="0"/>
                <w:sz w:val="28"/>
                <w:szCs w:val="28"/>
                <w:highlight w:val="none"/>
              </w:rPr>
            </w:pPr>
          </w:p>
        </w:tc>
      </w:tr>
      <w:tr>
        <w:tblPrEx>
          <w:tblLayout w:type="fixed"/>
          <w:tblCellMar>
            <w:top w:w="0" w:type="dxa"/>
            <w:left w:w="108" w:type="dxa"/>
            <w:bottom w:w="0" w:type="dxa"/>
            <w:right w:w="108" w:type="dxa"/>
          </w:tblCellMar>
        </w:tblPrEx>
        <w:trPr>
          <w:trHeight w:val="493" w:hRule="atLeast"/>
        </w:trPr>
        <w:tc>
          <w:tcPr>
            <w:tcW w:w="8807" w:type="dxa"/>
            <w:gridSpan w:val="2"/>
            <w:tcBorders>
              <w:top w:val="nil"/>
              <w:left w:val="nil"/>
              <w:bottom w:val="nil"/>
              <w:right w:val="nil"/>
            </w:tcBorders>
            <w:vAlign w:val="center"/>
          </w:tcPr>
          <w:p>
            <w:pPr>
              <w:widowControl/>
              <w:spacing w:line="5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编制部门：</w:t>
            </w:r>
            <w:r>
              <w:rPr>
                <w:rFonts w:hint="eastAsia" w:ascii="仿宋" w:hAnsi="仿宋" w:eastAsia="仿宋" w:cs="仿宋"/>
                <w:kern w:val="0"/>
                <w:sz w:val="28"/>
                <w:szCs w:val="28"/>
                <w:highlight w:val="none"/>
                <w:lang w:val="en-US" w:eastAsia="zh-CN"/>
              </w:rPr>
              <w:t>108霸州市政务服务管理办公室</w:t>
            </w:r>
          </w:p>
        </w:tc>
        <w:tc>
          <w:tcPr>
            <w:tcW w:w="5367" w:type="dxa"/>
            <w:tcBorders>
              <w:top w:val="nil"/>
              <w:left w:val="nil"/>
              <w:bottom w:val="nil"/>
              <w:right w:val="nil"/>
            </w:tcBorders>
            <w:vAlign w:val="center"/>
          </w:tcPr>
          <w:p>
            <w:pPr>
              <w:widowControl/>
              <w:spacing w:line="560" w:lineRule="exact"/>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截止时间：2017年12月31日</w:t>
            </w:r>
          </w:p>
        </w:tc>
      </w:tr>
      <w:tr>
        <w:tblPrEx>
          <w:tblLayout w:type="fixed"/>
          <w:tblCellMar>
            <w:top w:w="0" w:type="dxa"/>
            <w:left w:w="108" w:type="dxa"/>
            <w:bottom w:w="0" w:type="dxa"/>
            <w:right w:w="108" w:type="dxa"/>
          </w:tblCellMar>
        </w:tblPrEx>
        <w:trPr>
          <w:trHeight w:val="571" w:hRule="atLeast"/>
        </w:trPr>
        <w:tc>
          <w:tcPr>
            <w:tcW w:w="5493"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2" w:firstLineChars="200"/>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项  目</w:t>
            </w:r>
          </w:p>
        </w:tc>
        <w:tc>
          <w:tcPr>
            <w:tcW w:w="3314" w:type="dxa"/>
            <w:tcBorders>
              <w:top w:val="single" w:color="auto" w:sz="4" w:space="0"/>
              <w:left w:val="nil"/>
              <w:bottom w:val="single" w:color="auto" w:sz="4" w:space="0"/>
              <w:right w:val="single" w:color="auto" w:sz="4" w:space="0"/>
            </w:tcBorders>
            <w:vAlign w:val="center"/>
          </w:tcPr>
          <w:p>
            <w:pPr>
              <w:widowControl/>
              <w:spacing w:line="560" w:lineRule="exact"/>
              <w:ind w:firstLine="562" w:firstLineChars="200"/>
              <w:jc w:val="center"/>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数量</w:t>
            </w:r>
          </w:p>
        </w:tc>
        <w:tc>
          <w:tcPr>
            <w:tcW w:w="5367" w:type="dxa"/>
            <w:tcBorders>
              <w:top w:val="single" w:color="auto" w:sz="4" w:space="0"/>
              <w:left w:val="nil"/>
              <w:bottom w:val="single" w:color="auto" w:sz="4" w:space="0"/>
              <w:right w:val="single" w:color="auto" w:sz="4" w:space="0"/>
            </w:tcBorders>
            <w:vAlign w:val="center"/>
          </w:tcPr>
          <w:p>
            <w:pPr>
              <w:widowControl/>
              <w:spacing w:line="560" w:lineRule="exact"/>
              <w:ind w:firstLine="562" w:firstLineChars="200"/>
              <w:jc w:val="center"/>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价值（金额单位：万元）</w:t>
            </w:r>
          </w:p>
        </w:tc>
      </w:tr>
      <w:tr>
        <w:tblPrEx>
          <w:tblLayout w:type="fixed"/>
          <w:tblCellMar>
            <w:top w:w="0" w:type="dxa"/>
            <w:left w:w="108" w:type="dxa"/>
            <w:bottom w:w="0" w:type="dxa"/>
            <w:right w:w="108" w:type="dxa"/>
          </w:tblCellMar>
        </w:tblPrEx>
        <w:trPr>
          <w:trHeight w:val="571" w:hRule="atLeast"/>
        </w:trPr>
        <w:tc>
          <w:tcPr>
            <w:tcW w:w="5493" w:type="dxa"/>
            <w:tcBorders>
              <w:top w:val="nil"/>
              <w:left w:val="single" w:color="auto" w:sz="4" w:space="0"/>
              <w:bottom w:val="single" w:color="auto" w:sz="4" w:space="0"/>
              <w:right w:val="single" w:color="auto" w:sz="4" w:space="0"/>
            </w:tcBorders>
            <w:vAlign w:val="center"/>
          </w:tcPr>
          <w:p>
            <w:pPr>
              <w:widowControl/>
              <w:spacing w:line="5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资产总额</w:t>
            </w:r>
          </w:p>
        </w:tc>
        <w:tc>
          <w:tcPr>
            <w:tcW w:w="3314" w:type="dxa"/>
            <w:tcBorders>
              <w:top w:val="nil"/>
              <w:left w:val="nil"/>
              <w:bottom w:val="single" w:color="auto" w:sz="4" w:space="0"/>
              <w:right w:val="single" w:color="auto" w:sz="4" w:space="0"/>
            </w:tcBorders>
            <w:vAlign w:val="center"/>
          </w:tcPr>
          <w:p>
            <w:pPr>
              <w:widowControl/>
              <w:spacing w:line="560" w:lineRule="exact"/>
              <w:ind w:firstLine="560" w:firstLineChars="200"/>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w:t>
            </w:r>
          </w:p>
        </w:tc>
        <w:tc>
          <w:tcPr>
            <w:tcW w:w="5367" w:type="dxa"/>
            <w:tcBorders>
              <w:top w:val="nil"/>
              <w:left w:val="nil"/>
              <w:bottom w:val="single" w:color="auto" w:sz="4" w:space="0"/>
              <w:right w:val="single" w:color="auto" w:sz="4" w:space="0"/>
            </w:tcBorders>
            <w:vAlign w:val="center"/>
          </w:tcPr>
          <w:p>
            <w:pPr>
              <w:widowControl/>
              <w:spacing w:line="560" w:lineRule="exact"/>
              <w:ind w:firstLine="560" w:firstLineChars="200"/>
              <w:jc w:val="center"/>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1434.32</w:t>
            </w:r>
          </w:p>
        </w:tc>
      </w:tr>
      <w:tr>
        <w:tblPrEx>
          <w:tblLayout w:type="fixed"/>
          <w:tblCellMar>
            <w:top w:w="0" w:type="dxa"/>
            <w:left w:w="108" w:type="dxa"/>
            <w:bottom w:w="0" w:type="dxa"/>
            <w:right w:w="108" w:type="dxa"/>
          </w:tblCellMar>
        </w:tblPrEx>
        <w:trPr>
          <w:trHeight w:val="571" w:hRule="atLeast"/>
        </w:trPr>
        <w:tc>
          <w:tcPr>
            <w:tcW w:w="5493" w:type="dxa"/>
            <w:tcBorders>
              <w:top w:val="nil"/>
              <w:left w:val="single" w:color="auto" w:sz="4" w:space="0"/>
              <w:bottom w:val="single" w:color="auto" w:sz="4" w:space="0"/>
              <w:right w:val="single" w:color="auto" w:sz="4" w:space="0"/>
            </w:tcBorders>
            <w:vAlign w:val="center"/>
          </w:tcPr>
          <w:p>
            <w:pPr>
              <w:widowControl/>
              <w:spacing w:line="5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1、房屋（平方米）</w:t>
            </w:r>
          </w:p>
        </w:tc>
        <w:tc>
          <w:tcPr>
            <w:tcW w:w="3314" w:type="dxa"/>
            <w:tcBorders>
              <w:top w:val="nil"/>
              <w:left w:val="nil"/>
              <w:bottom w:val="single" w:color="auto" w:sz="4" w:space="0"/>
              <w:right w:val="single" w:color="auto" w:sz="4" w:space="0"/>
            </w:tcBorders>
            <w:vAlign w:val="center"/>
          </w:tcPr>
          <w:p>
            <w:pPr>
              <w:widowControl/>
              <w:spacing w:line="560" w:lineRule="exact"/>
              <w:ind w:firstLine="560" w:firstLineChars="200"/>
              <w:jc w:val="center"/>
              <w:rPr>
                <w:rFonts w:hint="eastAsia" w:ascii="仿宋" w:hAnsi="仿宋" w:eastAsia="仿宋" w:cs="仿宋"/>
                <w:kern w:val="0"/>
                <w:sz w:val="28"/>
                <w:szCs w:val="28"/>
                <w:highlight w:val="none"/>
                <w:lang w:val="en-US" w:eastAsia="zh-CN"/>
              </w:rPr>
            </w:pPr>
          </w:p>
        </w:tc>
        <w:tc>
          <w:tcPr>
            <w:tcW w:w="5367" w:type="dxa"/>
            <w:tcBorders>
              <w:top w:val="nil"/>
              <w:left w:val="nil"/>
              <w:bottom w:val="single" w:color="auto" w:sz="4" w:space="0"/>
              <w:right w:val="single" w:color="auto" w:sz="4" w:space="0"/>
            </w:tcBorders>
            <w:vAlign w:val="center"/>
          </w:tcPr>
          <w:p>
            <w:pPr>
              <w:widowControl/>
              <w:spacing w:line="560" w:lineRule="exact"/>
              <w:ind w:firstLine="560" w:firstLineChars="200"/>
              <w:jc w:val="center"/>
              <w:rPr>
                <w:rFonts w:hint="eastAsia" w:ascii="仿宋" w:hAnsi="仿宋" w:eastAsia="仿宋" w:cs="仿宋"/>
                <w:kern w:val="0"/>
                <w:sz w:val="28"/>
                <w:szCs w:val="28"/>
                <w:highlight w:val="none"/>
                <w:lang w:val="en-US" w:eastAsia="zh-CN"/>
              </w:rPr>
            </w:pPr>
          </w:p>
        </w:tc>
      </w:tr>
      <w:tr>
        <w:tblPrEx>
          <w:tblLayout w:type="fixed"/>
          <w:tblCellMar>
            <w:top w:w="0" w:type="dxa"/>
            <w:left w:w="108" w:type="dxa"/>
            <w:bottom w:w="0" w:type="dxa"/>
            <w:right w:w="108" w:type="dxa"/>
          </w:tblCellMar>
        </w:tblPrEx>
        <w:trPr>
          <w:trHeight w:val="571" w:hRule="atLeast"/>
        </w:trPr>
        <w:tc>
          <w:tcPr>
            <w:tcW w:w="5493" w:type="dxa"/>
            <w:tcBorders>
              <w:top w:val="nil"/>
              <w:left w:val="single" w:color="auto" w:sz="4" w:space="0"/>
              <w:bottom w:val="single" w:color="auto" w:sz="4" w:space="0"/>
              <w:right w:val="single" w:color="auto" w:sz="4" w:space="0"/>
            </w:tcBorders>
            <w:vAlign w:val="center"/>
          </w:tcPr>
          <w:p>
            <w:pPr>
              <w:widowControl/>
              <w:spacing w:line="5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 xml:space="preserve">    其中：办公用房（平方米）</w:t>
            </w:r>
          </w:p>
        </w:tc>
        <w:tc>
          <w:tcPr>
            <w:tcW w:w="3314" w:type="dxa"/>
            <w:tcBorders>
              <w:top w:val="nil"/>
              <w:left w:val="nil"/>
              <w:bottom w:val="single" w:color="auto" w:sz="4" w:space="0"/>
              <w:right w:val="single" w:color="auto" w:sz="4" w:space="0"/>
            </w:tcBorders>
            <w:vAlign w:val="center"/>
          </w:tcPr>
          <w:p>
            <w:pPr>
              <w:widowControl/>
              <w:spacing w:line="560" w:lineRule="exact"/>
              <w:ind w:firstLine="560" w:firstLineChars="200"/>
              <w:jc w:val="center"/>
              <w:rPr>
                <w:rFonts w:hint="eastAsia" w:ascii="仿宋" w:hAnsi="仿宋" w:eastAsia="仿宋" w:cs="仿宋"/>
                <w:kern w:val="0"/>
                <w:sz w:val="28"/>
                <w:szCs w:val="28"/>
                <w:highlight w:val="none"/>
                <w:lang w:val="en-US" w:eastAsia="zh-CN"/>
              </w:rPr>
            </w:pPr>
          </w:p>
        </w:tc>
        <w:tc>
          <w:tcPr>
            <w:tcW w:w="5367" w:type="dxa"/>
            <w:tcBorders>
              <w:top w:val="nil"/>
              <w:left w:val="nil"/>
              <w:bottom w:val="single" w:color="auto" w:sz="4" w:space="0"/>
              <w:right w:val="single" w:color="auto" w:sz="4" w:space="0"/>
            </w:tcBorders>
            <w:vAlign w:val="center"/>
          </w:tcPr>
          <w:p>
            <w:pPr>
              <w:widowControl/>
              <w:spacing w:line="560" w:lineRule="exact"/>
              <w:ind w:firstLine="560" w:firstLineChars="200"/>
              <w:jc w:val="center"/>
              <w:rPr>
                <w:rFonts w:hint="eastAsia" w:ascii="仿宋" w:hAnsi="仿宋" w:eastAsia="仿宋" w:cs="仿宋"/>
                <w:kern w:val="0"/>
                <w:sz w:val="28"/>
                <w:szCs w:val="28"/>
                <w:highlight w:val="none"/>
                <w:lang w:val="en-US" w:eastAsia="zh-CN"/>
              </w:rPr>
            </w:pPr>
          </w:p>
        </w:tc>
      </w:tr>
      <w:tr>
        <w:tblPrEx>
          <w:tblLayout w:type="fixed"/>
          <w:tblCellMar>
            <w:top w:w="0" w:type="dxa"/>
            <w:left w:w="108" w:type="dxa"/>
            <w:bottom w:w="0" w:type="dxa"/>
            <w:right w:w="108" w:type="dxa"/>
          </w:tblCellMar>
        </w:tblPrEx>
        <w:trPr>
          <w:trHeight w:val="571" w:hRule="atLeast"/>
        </w:trPr>
        <w:tc>
          <w:tcPr>
            <w:tcW w:w="5493" w:type="dxa"/>
            <w:tcBorders>
              <w:top w:val="nil"/>
              <w:left w:val="single" w:color="auto" w:sz="4" w:space="0"/>
              <w:bottom w:val="single" w:color="auto" w:sz="4" w:space="0"/>
              <w:right w:val="single" w:color="auto" w:sz="4" w:space="0"/>
            </w:tcBorders>
            <w:vAlign w:val="center"/>
          </w:tcPr>
          <w:p>
            <w:pPr>
              <w:widowControl/>
              <w:spacing w:line="5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2、车辆（台、辆）</w:t>
            </w:r>
          </w:p>
        </w:tc>
        <w:tc>
          <w:tcPr>
            <w:tcW w:w="3314" w:type="dxa"/>
            <w:tcBorders>
              <w:top w:val="nil"/>
              <w:left w:val="nil"/>
              <w:bottom w:val="single" w:color="auto" w:sz="4" w:space="0"/>
              <w:right w:val="single" w:color="auto" w:sz="4" w:space="0"/>
            </w:tcBorders>
            <w:vAlign w:val="center"/>
          </w:tcPr>
          <w:p>
            <w:pPr>
              <w:widowControl/>
              <w:spacing w:line="560" w:lineRule="exact"/>
              <w:ind w:firstLine="560" w:firstLineChars="200"/>
              <w:jc w:val="center"/>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1</w:t>
            </w:r>
          </w:p>
        </w:tc>
        <w:tc>
          <w:tcPr>
            <w:tcW w:w="5367" w:type="dxa"/>
            <w:tcBorders>
              <w:top w:val="nil"/>
              <w:left w:val="nil"/>
              <w:bottom w:val="single" w:color="auto" w:sz="4" w:space="0"/>
              <w:right w:val="single" w:color="auto" w:sz="4" w:space="0"/>
            </w:tcBorders>
            <w:vAlign w:val="center"/>
          </w:tcPr>
          <w:p>
            <w:pPr>
              <w:widowControl/>
              <w:spacing w:line="560" w:lineRule="exact"/>
              <w:ind w:firstLine="560" w:firstLineChars="200"/>
              <w:jc w:val="center"/>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23.38</w:t>
            </w:r>
          </w:p>
        </w:tc>
      </w:tr>
      <w:tr>
        <w:tblPrEx>
          <w:tblLayout w:type="fixed"/>
          <w:tblCellMar>
            <w:top w:w="0" w:type="dxa"/>
            <w:left w:w="108" w:type="dxa"/>
            <w:bottom w:w="0" w:type="dxa"/>
            <w:right w:w="108" w:type="dxa"/>
          </w:tblCellMar>
        </w:tblPrEx>
        <w:trPr>
          <w:trHeight w:val="571" w:hRule="atLeast"/>
        </w:trPr>
        <w:tc>
          <w:tcPr>
            <w:tcW w:w="5493" w:type="dxa"/>
            <w:tcBorders>
              <w:top w:val="nil"/>
              <w:left w:val="single" w:color="auto" w:sz="4" w:space="0"/>
              <w:bottom w:val="single" w:color="auto" w:sz="4" w:space="0"/>
              <w:right w:val="single" w:color="auto" w:sz="4" w:space="0"/>
            </w:tcBorders>
            <w:vAlign w:val="center"/>
          </w:tcPr>
          <w:p>
            <w:pPr>
              <w:widowControl/>
              <w:spacing w:line="5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3、单价在50万元以上的设备</w:t>
            </w:r>
          </w:p>
        </w:tc>
        <w:tc>
          <w:tcPr>
            <w:tcW w:w="3314" w:type="dxa"/>
            <w:tcBorders>
              <w:top w:val="nil"/>
              <w:left w:val="nil"/>
              <w:bottom w:val="single" w:color="auto" w:sz="4" w:space="0"/>
              <w:right w:val="single" w:color="auto" w:sz="4" w:space="0"/>
            </w:tcBorders>
            <w:vAlign w:val="center"/>
          </w:tcPr>
          <w:p>
            <w:pPr>
              <w:widowControl/>
              <w:spacing w:line="560" w:lineRule="exact"/>
              <w:ind w:firstLine="560" w:firstLineChars="200"/>
              <w:jc w:val="center"/>
              <w:rPr>
                <w:rFonts w:hint="eastAsia" w:ascii="仿宋" w:hAnsi="仿宋" w:eastAsia="仿宋" w:cs="仿宋"/>
                <w:kern w:val="0"/>
                <w:sz w:val="28"/>
                <w:szCs w:val="28"/>
                <w:highlight w:val="none"/>
                <w:lang w:val="en-US" w:eastAsia="zh-CN"/>
              </w:rPr>
            </w:pPr>
          </w:p>
        </w:tc>
        <w:tc>
          <w:tcPr>
            <w:tcW w:w="5367" w:type="dxa"/>
            <w:tcBorders>
              <w:top w:val="nil"/>
              <w:left w:val="nil"/>
              <w:bottom w:val="single" w:color="auto" w:sz="4" w:space="0"/>
              <w:right w:val="single" w:color="auto" w:sz="4" w:space="0"/>
            </w:tcBorders>
            <w:vAlign w:val="center"/>
          </w:tcPr>
          <w:p>
            <w:pPr>
              <w:widowControl/>
              <w:spacing w:line="560" w:lineRule="exact"/>
              <w:ind w:firstLine="560" w:firstLineChars="200"/>
              <w:jc w:val="center"/>
              <w:rPr>
                <w:rFonts w:hint="eastAsia" w:ascii="仿宋" w:hAnsi="仿宋" w:eastAsia="仿宋" w:cs="仿宋"/>
                <w:kern w:val="0"/>
                <w:sz w:val="28"/>
                <w:szCs w:val="28"/>
                <w:highlight w:val="none"/>
                <w:lang w:val="en-US" w:eastAsia="zh-CN"/>
              </w:rPr>
            </w:pPr>
          </w:p>
        </w:tc>
      </w:tr>
      <w:tr>
        <w:tblPrEx>
          <w:tblLayout w:type="fixed"/>
          <w:tblCellMar>
            <w:top w:w="0" w:type="dxa"/>
            <w:left w:w="108" w:type="dxa"/>
            <w:bottom w:w="0" w:type="dxa"/>
            <w:right w:w="108" w:type="dxa"/>
          </w:tblCellMar>
        </w:tblPrEx>
        <w:trPr>
          <w:trHeight w:val="613" w:hRule="atLeast"/>
        </w:trPr>
        <w:tc>
          <w:tcPr>
            <w:tcW w:w="5493" w:type="dxa"/>
            <w:tcBorders>
              <w:top w:val="nil"/>
              <w:left w:val="single" w:color="auto" w:sz="4" w:space="0"/>
              <w:bottom w:val="single" w:color="auto" w:sz="4" w:space="0"/>
              <w:right w:val="single" w:color="auto" w:sz="4" w:space="0"/>
            </w:tcBorders>
            <w:vAlign w:val="center"/>
          </w:tcPr>
          <w:p>
            <w:pPr>
              <w:widowControl/>
              <w:spacing w:line="5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4、其他固定资产</w:t>
            </w:r>
          </w:p>
        </w:tc>
        <w:tc>
          <w:tcPr>
            <w:tcW w:w="3314" w:type="dxa"/>
            <w:tcBorders>
              <w:top w:val="nil"/>
              <w:left w:val="nil"/>
              <w:bottom w:val="single" w:color="auto" w:sz="4" w:space="0"/>
              <w:right w:val="single" w:color="auto" w:sz="4" w:space="0"/>
            </w:tcBorders>
            <w:vAlign w:val="center"/>
          </w:tcPr>
          <w:p>
            <w:pPr>
              <w:widowControl/>
              <w:spacing w:line="560" w:lineRule="exact"/>
              <w:ind w:firstLine="560" w:firstLineChars="200"/>
              <w:jc w:val="center"/>
              <w:rPr>
                <w:rFonts w:hint="eastAsia" w:ascii="仿宋" w:hAnsi="仿宋" w:eastAsia="仿宋" w:cs="仿宋"/>
                <w:kern w:val="0"/>
                <w:sz w:val="28"/>
                <w:szCs w:val="28"/>
                <w:highlight w:val="none"/>
                <w:lang w:val="en-US" w:eastAsia="zh-CN"/>
              </w:rPr>
            </w:pPr>
          </w:p>
        </w:tc>
        <w:tc>
          <w:tcPr>
            <w:tcW w:w="5367" w:type="dxa"/>
            <w:tcBorders>
              <w:top w:val="nil"/>
              <w:left w:val="nil"/>
              <w:bottom w:val="single" w:color="auto" w:sz="4" w:space="0"/>
              <w:right w:val="single" w:color="auto" w:sz="4" w:space="0"/>
            </w:tcBorders>
            <w:vAlign w:val="center"/>
          </w:tcPr>
          <w:p>
            <w:pPr>
              <w:widowControl/>
              <w:spacing w:line="560" w:lineRule="exact"/>
              <w:ind w:firstLine="560" w:firstLineChars="200"/>
              <w:jc w:val="center"/>
              <w:rPr>
                <w:rFonts w:hint="eastAsia"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1410.94</w:t>
            </w:r>
          </w:p>
        </w:tc>
      </w:tr>
    </w:tbl>
    <w:p>
      <w:pPr>
        <w:widowControl/>
        <w:numPr>
          <w:ilvl w:val="0"/>
          <w:numId w:val="2"/>
        </w:numPr>
        <w:spacing w:line="560" w:lineRule="exact"/>
        <w:ind w:firstLine="562" w:firstLineChars="200"/>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其他需要说明的情况</w:t>
      </w:r>
    </w:p>
    <w:p>
      <w:pPr>
        <w:widowControl/>
        <w:spacing w:line="560" w:lineRule="exact"/>
        <w:ind w:firstLine="560" w:firstLineChars="200"/>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由于决算公开表格中金额数值应当保留两位小数，公开数据为四舍五入计算结果，个别数据合计项与分项之和存在小数点后差额，特此说明。</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2" w:firstLineChars="200"/>
        <w:textAlignment w:val="auto"/>
        <w:rPr>
          <w:rFonts w:hint="eastAsia" w:ascii="仿宋" w:hAnsi="仿宋" w:eastAsia="仿宋" w:cs="仿宋"/>
          <w:b/>
          <w:bCs/>
          <w:color w:val="FF0000"/>
          <w:sz w:val="28"/>
          <w:szCs w:val="28"/>
          <w:highlight w:val="none"/>
        </w:rPr>
      </w:pPr>
      <w:r>
        <w:rPr>
          <w:rFonts w:hint="eastAsia" w:ascii="仿宋" w:hAnsi="仿宋" w:eastAsia="仿宋" w:cs="仿宋"/>
          <w:b/>
          <w:bCs/>
          <w:sz w:val="28"/>
          <w:szCs w:val="28"/>
          <w:highlight w:val="none"/>
        </w:rPr>
        <w:t>四、名词解释</w:t>
      </w:r>
    </w:p>
    <w:p>
      <w:pPr>
        <w:widowControl/>
        <w:spacing w:line="560" w:lineRule="exact"/>
        <w:ind w:firstLine="560" w:firstLineChars="200"/>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（一）财政拨款收入：本年度从本级财政部门取得的财政拨款，包括一般公共预算财政拨款和政府性基金预算财政拨款。</w:t>
      </w:r>
      <w:bookmarkStart w:id="0" w:name="_GoBack"/>
      <w:bookmarkEnd w:id="0"/>
    </w:p>
    <w:p>
      <w:pPr>
        <w:widowControl/>
        <w:spacing w:line="560" w:lineRule="exact"/>
        <w:ind w:firstLine="560" w:firstLineChars="200"/>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（二）事业收入：指事业单位开展专业业务活动及辅助活动所取得的收入。</w:t>
      </w:r>
    </w:p>
    <w:p>
      <w:pPr>
        <w:widowControl/>
        <w:spacing w:line="560" w:lineRule="exact"/>
        <w:ind w:firstLine="560" w:firstLineChars="200"/>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（三）其他收入：指除上述“财政拨款收入”、“事业收入”、“经营收入”等以外的收入。</w:t>
      </w:r>
    </w:p>
    <w:p>
      <w:pPr>
        <w:widowControl/>
        <w:spacing w:line="560" w:lineRule="exact"/>
        <w:ind w:firstLine="560" w:firstLineChars="200"/>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560" w:firstLineChars="200"/>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（五）年初结转和结余：指以前年度尚未完成、结转到本年仍按原规定用途继续使用的资金，或项目已完成等产生的结余资金。</w:t>
      </w:r>
    </w:p>
    <w:p>
      <w:pPr>
        <w:widowControl/>
        <w:spacing w:line="560" w:lineRule="exact"/>
        <w:ind w:firstLine="560" w:firstLineChars="200"/>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（六）结余分配：指事业单位按照事业单位会计制度的规定从非财政补助结余中分配的事业基金和职工福利基金等。</w:t>
      </w:r>
    </w:p>
    <w:p>
      <w:pPr>
        <w:widowControl/>
        <w:spacing w:line="560" w:lineRule="exact"/>
        <w:ind w:firstLine="560" w:firstLineChars="200"/>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（七）年末结转和结余：指单位按有关规定结转到下年或以后年度继续使用的资金，或项目已完成等产生的结余资金。</w:t>
      </w:r>
    </w:p>
    <w:p>
      <w:pPr>
        <w:widowControl/>
        <w:spacing w:line="560" w:lineRule="exact"/>
        <w:ind w:firstLine="560" w:firstLineChars="200"/>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（八）基本支出：填列单位为保障机构正常运转、完成日常工作任务而发生的各项支出。</w:t>
      </w:r>
    </w:p>
    <w:p>
      <w:pPr>
        <w:widowControl/>
        <w:spacing w:line="560" w:lineRule="exact"/>
        <w:ind w:firstLine="560" w:firstLineChars="200"/>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（九）项目支出：填列单位为完成特定的行政工作任务或事业发展目标，在基本支出之外发生的各项支出</w:t>
      </w:r>
    </w:p>
    <w:p>
      <w:pPr>
        <w:widowControl/>
        <w:spacing w:line="560" w:lineRule="exact"/>
        <w:ind w:firstLine="560" w:firstLineChars="200"/>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560" w:firstLineChars="200"/>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（十一）其他资本性支出：填列由各级非发展与改革部门集中安排的用于购置固定资产、战备性和应急性储备、土地和无形资产，以及购建基础设施、大型修缮和财政支持企业更新改造所发生的支出。</w:t>
      </w:r>
    </w:p>
    <w:p>
      <w:pPr>
        <w:widowControl/>
        <w:spacing w:line="560" w:lineRule="exact"/>
        <w:ind w:firstLine="560" w:firstLineChars="200"/>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line="560" w:lineRule="exact"/>
        <w:ind w:firstLine="560" w:firstLineChars="200"/>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（十三）其他交通费用：填列单位除公务用车运行维护费以外的其他交通费用。如飞机、船舶等的燃料费、维修费、过桥过路费、保险费、出租车费用、公务交通补贴等。</w:t>
      </w:r>
    </w:p>
    <w:p>
      <w:pPr>
        <w:widowControl/>
        <w:spacing w:line="560" w:lineRule="exact"/>
        <w:ind w:firstLine="560" w:firstLineChars="200"/>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（十四）公务用车购置：填列单位公务用车车辆购置支出（含车辆购置税）。</w:t>
      </w:r>
    </w:p>
    <w:p>
      <w:pPr>
        <w:widowControl/>
        <w:spacing w:line="560" w:lineRule="exact"/>
        <w:ind w:firstLine="560" w:firstLineChars="200"/>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（十五）其他交通工具购置：填列单位除公务用车外的其他各类交通工具（如船舶、飞机）购置支出（含车辆购置税）。</w:t>
      </w:r>
    </w:p>
    <w:p>
      <w:pPr>
        <w:widowControl/>
        <w:spacing w:line="560" w:lineRule="exact"/>
        <w:ind w:firstLine="560" w:firstLineChars="200"/>
        <w:rPr>
          <w:rFonts w:hint="eastAsia" w:ascii="仿宋" w:hAnsi="仿宋" w:eastAsia="仿宋" w:cs="仿宋"/>
          <w:sz w:val="28"/>
          <w:szCs w:val="28"/>
          <w:highlight w:val="none"/>
        </w:rPr>
      </w:pPr>
      <w:r>
        <w:rPr>
          <w:rFonts w:hint="eastAsia" w:ascii="仿宋" w:hAnsi="仿宋" w:eastAsia="仿宋" w:cs="仿宋"/>
          <w:color w:val="000000"/>
          <w:kern w:val="0"/>
          <w:sz w:val="28"/>
          <w:szCs w:val="28"/>
          <w:highlight w:val="none"/>
        </w:rPr>
        <w:t>（十六）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rPr>
          <w:rFonts w:hint="eastAsia" w:ascii="仿宋" w:hAnsi="仿宋" w:eastAsia="仿宋" w:cs="仿宋"/>
          <w:sz w:val="28"/>
          <w:szCs w:val="28"/>
          <w:highlight w:val="none"/>
        </w:rPr>
      </w:pPr>
    </w:p>
    <w:sectPr>
      <w:footerReference r:id="rId3" w:type="even"/>
      <w:pgSz w:w="16838" w:h="11906" w:orient="landscape"/>
      <w:pgMar w:top="1701" w:right="1440" w:bottom="1701"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C4C3AA"/>
    <w:multiLevelType w:val="singleLevel"/>
    <w:tmpl w:val="DCC4C3AA"/>
    <w:lvl w:ilvl="0" w:tentative="0">
      <w:start w:val="4"/>
      <w:numFmt w:val="decimal"/>
      <w:suff w:val="nothing"/>
      <w:lvlText w:val="%1、"/>
      <w:lvlJc w:val="left"/>
    </w:lvl>
  </w:abstractNum>
  <w:abstractNum w:abstractNumId="1">
    <w:nsid w:val="5F6E5825"/>
    <w:multiLevelType w:val="singleLevel"/>
    <w:tmpl w:val="5F6E5825"/>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08"/>
    <w:rsid w:val="00052DDA"/>
    <w:rsid w:val="00614BE8"/>
    <w:rsid w:val="00964408"/>
    <w:rsid w:val="00AB2588"/>
    <w:rsid w:val="03256761"/>
    <w:rsid w:val="13214DDA"/>
    <w:rsid w:val="1B574CE2"/>
    <w:rsid w:val="36B37934"/>
    <w:rsid w:val="40B55F3D"/>
    <w:rsid w:val="416364B9"/>
    <w:rsid w:val="4A795147"/>
    <w:rsid w:val="4E593283"/>
    <w:rsid w:val="685260B5"/>
    <w:rsid w:val="72664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269;&#24211;\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7</Pages>
  <Words>530</Words>
  <Characters>3023</Characters>
  <Lines>25</Lines>
  <Paragraphs>7</Paragraphs>
  <TotalTime>15</TotalTime>
  <ScaleCrop>false</ScaleCrop>
  <LinksUpToDate>false</LinksUpToDate>
  <CharactersWithSpaces>3546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2018-10-09T08:52:00Z</dcterms:created>
  <dc:creator>国库</dc:creator>
  <cp:lastModifiedBy>Administrator</cp:lastModifiedBy>
  <cp:lastPrinted>2018-10-10T00:45:00Z</cp:lastPrinted>
  <dcterms:modified xsi:type="dcterms:W3CDTF">2019-01-24T10:33:50Z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